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https://www.autoritedelaconcurrence.fr/fr/decision-de-controle-des-concentrations/relative-la-prise-de-controle-exclusif-de-la-societe-247</w:t>
      </w:r>
    </w:p>
    <w:p>
      <w:r>
        <w:t>Pages translated : 2</w:t>
      </w:r>
    </w:p>
    <w:p/>
    <w:p>
      <w:r>
        <w:rPr>
          <w:b/>
        </w:rPr>
        <w:t>[Pages 1–2]</w:t>
      </w:r>
    </w:p>
    <w:p>
      <w:r>
        <w:t xml:space="preserve">FRENCH REPUBLIC  </w:t>
        <w:br/>
        <w:t xml:space="preserve">Decision No. 19-DCC-12 of January 24, 2019  </w:t>
        <w:br/>
        <w:t>regarding the exclusive control acquisition of the company Stella Holding and its subsidiaries by the company PAI Partners</w:t>
      </w:r>
    </w:p>
    <w:p>
      <w:r>
        <w:t>The Competition Authority,</w:t>
      </w:r>
    </w:p>
    <w:p>
      <w:r>
        <w:t>Having regard to the complete notification file sent to the mergers department on December 28, 2018, concerning the exclusive control acquisition of the company Stella Holding and its subsidiaries by the company PAI Partners, formalized by a purchase agreement dated November 16, 2018;</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PAI Partners of the company Stella Holding, which is active, through its subsidiaries, in the design, manufacture, and distribution of custom building closures for housing, commerce, and industry, as well as accessory home automation solutions to connect these various closure equipment. This operation constitutes a concentration operation within the meaning of Article L. 430-1 of the Commercial Code. Given the turnover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18-286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