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https://www.autoritedelaconcurrence.fr/fr/decision-de-controle-des-concentrations/relative-la-prise-de-controle-exclusif-de-la-societe-249</w:t>
      </w:r>
    </w:p>
    <w:p>
      <w:r>
        <w:t>Pages translated : 2</w:t>
      </w:r>
    </w:p>
    <w:p/>
    <w:p>
      <w:r>
        <w:rPr>
          <w:b/>
        </w:rPr>
        <w:t>[Pages 1–2]</w:t>
      </w:r>
    </w:p>
    <w:p>
      <w:r>
        <w:t xml:space="preserve">FRENCH REPUBLIC  </w:t>
        <w:br/>
        <w:t xml:space="preserve">Decision No. 19-DCC-25 of February 12, 2019  </w:t>
        <w:br/>
        <w:t xml:space="preserve">regarding the exclusive control acquisition of Pioneer Corporation by the Baring Private Equity Asia group  </w:t>
        <w:br/>
        <w:t xml:space="preserve">The Competition Authority,  </w:t>
        <w:br/>
        <w:t xml:space="preserve">Having regard to the complete notification file submitted to the mergers department on January 15, 2019, concerning the exclusive control acquisition of Pioneer Corporation by the Baring Private Equity Asia group, and formalized by an investment agreement dated December 7,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Baring Private Equity Asia group of Pioneer Corporation, which is active in particular in the development, production, and sale of automotive electronic products.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18-295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