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https://www.autoritedelaconcurrence.fr/fr/decision-de-controle-des-concentrations/relative-la-prise-de-controle-exclusif-de-la-societe-250</w:t>
      </w:r>
    </w:p>
    <w:p>
      <w:r>
        <w:t>Pages translated : 2</w:t>
      </w:r>
    </w:p>
    <w:p/>
    <w:p>
      <w:r>
        <w:rPr>
          <w:b/>
        </w:rPr>
        <w:t>[Pages 1–2]</w:t>
      </w:r>
    </w:p>
    <w:p>
      <w:r>
        <w:t xml:space="preserve">FRENCH REPUBLIC  </w:t>
        <w:br/>
        <w:t xml:space="preserve">Decision No. 19-DCC-43 of March 15, 2019  </w:t>
        <w:br/>
        <w:t xml:space="preserve">regarding the exclusive control acquisition of the company Financière Eurogiciel by the company Cobepa  </w:t>
        <w:br/>
        <w:t xml:space="preserve">The Competition Authority,  </w:t>
        <w:br/>
        <w:t xml:space="preserve">Having regard to the complete notification file sent to the mergers department on February 8, 2019, concerning the exclusive control acquisition of the company Financière Eurogiciel by the company Cobepa, formalized by a unilateral purchase promise dated December 7, 2018;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Adopts the following decision:  </w:t>
        <w:br/>
        <w:t xml:space="preserve">1. The notified operation consists of the exclusive control acquisition of the company Financière Eurogiciel by the company Cobepa.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 concerned by the operation is that of IT services, which is consistently defined by the decision-making practice of the competition authorities.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18-301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