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https://www.autoritedelaconcurrence.fr/fr/decision-de-controle-des-concentrations/relative-la-prise-de-controle-exclusif-de-la-societe-251</w:t>
      </w:r>
    </w:p>
    <w:p>
      <w:r>
        <w:t>Pages translated : 2</w:t>
      </w:r>
    </w:p>
    <w:p/>
    <w:p>
      <w:r>
        <w:rPr>
          <w:b/>
        </w:rPr>
        <w:t>[Pages 1–2]</w:t>
      </w:r>
    </w:p>
    <w:p>
      <w:r>
        <w:t xml:space="preserve">REPUBLIC OF FRANCE  </w:t>
        <w:br/>
        <w:t xml:space="preserve">Decision No. 19-DCC-44 of March 15, 2019  </w:t>
        <w:br/>
        <w:t xml:space="preserve">regarding the exclusive control acquisition of the company Richemon by the  </w:t>
        <w:br/>
        <w:t xml:space="preserve">company IK Investment Partners  </w:t>
        <w:br/>
        <w:t xml:space="preserve">The Competition Authority,  </w:t>
        <w:br/>
        <w:t xml:space="preserve">Having regard to the complete notification file submitted to the mergers department on February 11, 2019,  </w:t>
        <w:br/>
        <w:t xml:space="preserve">concerning the exclusive control acquisition of the company Richemon by the company IK Investment  </w:t>
        <w:br/>
        <w:t xml:space="preserve">Partners, and formalized by a share transfer and contribution agreement dated January 23, 2019;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IK Investment  </w:t>
        <w:br/>
        <w:t xml:space="preserve">Partners of the company Richemon, which is active, through its subsidiaries, in the sectors of the manufacturing, distribution, and maintenance of conveyor belt systems as well as in the manufacturing of PVC boots. This operation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19-021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