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https://www.autoritedelaconcurrence.fr/fr/decision-de-controle-des-concentrations/relative-la-prise-de-controle-exclusif-de-la-societe-253</w:t>
      </w:r>
    </w:p>
    <w:p>
      <w:r>
        <w:t>Pages translated : 2</w:t>
      </w:r>
    </w:p>
    <w:p/>
    <w:p>
      <w:r>
        <w:rPr>
          <w:b/>
        </w:rPr>
        <w:t>[Pages 1–2]</w:t>
      </w:r>
    </w:p>
    <w:p>
      <w:r>
        <w:t xml:space="preserve">FRENCH REPUBLIC  </w:t>
        <w:br/>
        <w:t xml:space="preserve">Decision No. 19-DCC-57 of April 5, 2019  </w:t>
        <w:br/>
        <w:t xml:space="preserve">regarding the exclusive control acquisition of the company Holding de Distribution et de Services by the company Groupe Étoile du Maine  </w:t>
        <w:br/>
        <w:t xml:space="preserve">The Competition Authority,  </w:t>
        <w:br/>
        <w:t xml:space="preserve">Having regard to the complete notification file sent to the mergers department on March 4, 2019, concerning the exclusive control acquisition of the company Holding de Distribution et de Services by the company Groupe Étoile du Maine, formalized by a letter of intent dated February 14, 2019;  </w:t>
        <w:br/>
        <w:t xml:space="preserve">Having regard to Book IV of the Commercial Code relating to the freedom of prices and competition, and in particular its Articles L. 430-1 to L. 430-7;  </w:t>
        <w:br/>
        <w:t xml:space="preserve">Having regard to the elements transmitted during the investigation by the notifying party;  </w:t>
        <w:br/>
        <w:t xml:space="preserve">Adopts the following decision:  </w:t>
        <w:br/>
        <w:t xml:space="preserve">1. The notified operation consists of the exclusive control acquisition by the company Groupe Étoile du Maine of the company Holding de Distribution et de Services, which operates three automobile dealerships of the brands Mercedes-Benz and Smart in the departments of Cher (18) and Indre (36). It constitutes a concentration operation within the meaning of Article L. 430-1 of the Commercial Code. Given the turnover achieved by the concerned companies, the operation does not fall under the jurisdiction of the European Union.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19-057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