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https://www.autoritedelaconcurrence.fr/fr/decision-de-controle-des-concentrations/relative-la-prise-de-controle-exclusif-de-la-societe-254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19-DCC-60 of April 9, 2019  </w:t>
        <w:br/>
        <w:t xml:space="preserve">regarding the exclusive control acquisition of the company Unilians by the  </w:t>
        <w:br/>
        <w:t xml:space="preserve">Biogroup LCD group  </w:t>
        <w:br/>
        <w:t xml:space="preserve">The Competition Authority,  </w:t>
        <w:br/>
        <w:t xml:space="preserve">Having regard to the complete notification file submitted to the mergers department on March 8, 2019,  </w:t>
        <w:br/>
        <w:t xml:space="preserve">concerning the exclusive control acquisition of the company Unilians by the Biogroup LCD group,  </w:t>
        <w:br/>
        <w:t xml:space="preserve">formalized by a merger protocol dated February 26,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of the company Unilians by the Biogroup  </w:t>
        <w:br/>
        <w:t xml:space="preserve">LCD group via CAB, a subsidiary of Laboratoire Eimer, the parent company of the group, which is itself  </w:t>
        <w:br/>
        <w:t xml:space="preserve">exclusively controlled by the shareholder Stéphane Eimer. It constitutes a concentration within the meaning of  </w:t>
        <w:br/>
        <w:t xml:space="preserve">Article L. 430-1 of the Commercial Code. Given the turnover generated by the companies concerned, the  </w:t>
        <w:br/>
        <w:t xml:space="preserve">operation does not fall under the jurisdiction of the European Union. However, the control thresholds mentioned  </w:t>
        <w:br/>
        <w:t xml:space="preserve">in I of 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The markets concerned by the operation are those of medical biology analysis services as well as the  </w:t>
        <w:br/>
        <w:t xml:space="preserve">supply of equipment, reagents, and consumables for biology, which are consistently defined by the  </w:t>
        <w:br/>
        <w:t xml:space="preserve">decision-making practice of the Competition Authority.  </w:t>
        <w:br/>
        <w:t xml:space="preserve">3. Regardless of the segmentations retained, the cumulative market shares of the parties are below 25%.  </w:t>
        <w:br/>
        <w:t xml:space="preserve">4. Considering the elements of the file and in particular point 384 of the guidelines of the Competition  </w:t>
        <w:br/>
        <w:t>Authority relating to the control of concentrations, the operation is not likely to harm competition.</w:t>
      </w:r>
    </w:p>
    <w:p>
      <w:r>
        <w:t xml:space="preserve">DECIDES  </w:t>
        <w:br/>
        <w:t xml:space="preserve">Sole Article: The operation notified under number 19-070 is authorized.  </w:t>
        <w:br/>
        <w:t xml:space="preserve">The Chairwoman,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