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https://www.autoritedelaconcurrence.fr/fr/decision-de-controle-des-concentrations/relative-la-prise-de-controle-exclusif-de-la-societe-259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19-DCC-106 of May 28, 2019  </w:t>
        <w:br/>
        <w:t xml:space="preserve">regarding the exclusive control acquisition of the company RemadeGroup by  </w:t>
        <w:br/>
        <w:t xml:space="preserve">the company LGT European Capital Ltd.  </w:t>
        <w:br/>
        <w:t>The Competition Authority,</w:t>
      </w:r>
    </w:p>
    <w:p>
      <w:r>
        <w:t xml:space="preserve">Having regard to the complete notification file submitted to the mergers department on April 30, 2019,  </w:t>
        <w:br/>
        <w:t xml:space="preserve">concerning the exclusive control acquisition of the company RemadeGroup SAS (hereinafter "Remade")  </w:t>
        <w:br/>
        <w:t xml:space="preserve">by the company LGT European Capital Ltd. (hereinafter "LGT"), and formalized by an agreement  </w:t>
        <w:br/>
        <w:t>regarding the restructuring of RemadeGroup dated April 16, 2019;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Having regard to the additional elements provided by the notifying party during the investigation;</w:t>
      </w:r>
    </w:p>
    <w:p>
      <w:r>
        <w:t xml:space="preserve">Adopts the following decision:  </w:t>
        <w:br/>
        <w:t xml:space="preserve">1. The notified operation consists of the exclusive control acquisition by the company LGT of the company  </w:t>
        <w:br/>
        <w:t xml:space="preserve">RemadeGroup, which is active in the sector of mobile phone trading, telephone accessories, and very marginally connected objects. It constitutes  </w:t>
        <w:br/>
        <w:t xml:space="preserve">a concentration operation within the meaning of Article L. 430-1 of the Commercial Code. Given  </w:t>
        <w:br/>
        <w:t xml:space="preserve">the turnover achieved by the concerned companies, the operation does not fall under the  </w:t>
        <w:br/>
        <w:t xml:space="preserve">competence of the European Union. On the other hand, the control thresholds mentioned in point I  </w:t>
        <w:br/>
        <w:t xml:space="preserve">of Article L. 430-2 of the Commercial Code are exceeded. The present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concerned markets.</w:t>
      </w:r>
    </w:p>
    <w:p>
      <w:r>
        <w:t xml:space="preserve">DECIDES  </w:t>
        <w:br/>
        <w:t xml:space="preserve">Sole Article: The operation notified under number 19-117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