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https://www.autoritedelaconcurrence.fr/fr/decision-de-controle-des-concentrations/relative-la-prise-de-controle-exclusif-de-la-societe-260</w:t>
      </w:r>
    </w:p>
    <w:p>
      <w:r>
        <w:t>Pages translated : 2</w:t>
      </w:r>
    </w:p>
    <w:p/>
    <w:p>
      <w:r>
        <w:rPr>
          <w:b/>
        </w:rPr>
        <w:t>[Pages 1–2]</w:t>
      </w:r>
    </w:p>
    <w:p>
      <w:r>
        <w:t xml:space="preserve">FRENCH REPUBLIC  </w:t>
        <w:br/>
        <w:t xml:space="preserve">Decision No. 19-DCC-128 of July 8, 2019  </w:t>
        <w:br/>
        <w:t xml:space="preserve">regarding the exclusive control acquisition of the company Continental Foods  </w:t>
        <w:br/>
        <w:t xml:space="preserve">by the company GB Foods  </w:t>
        <w:br/>
        <w:t xml:space="preserve">The Competition Authority,  </w:t>
        <w:br/>
        <w:t xml:space="preserve">Having regard to the complete notification file submitted to the mergers department on June 7, 2019, concerning the exclusive control acquisition of the company Continental Foods by the company GB Foods, formalized by a purchase promise dated May 1,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GB Foods, a subsidiary of the company Agrolimen, of the company Continental Foods.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manufacture and marketing of soups and sauces intended for large and medium-sized retail outlets, consistently defined by the decision-making practice of the competition authorities.  </w:t>
        <w:br/>
        <w:t xml:space="preserve">3. Regardless of the segmentations retained, the additions of market shares of the parties are below 2 points.  </w:t>
        <w:b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19-124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