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https://www.autoritedelaconcurrence.fr/fr/decision-de-controle-des-concentrations/relative-la-prise-de-controle-exclusif-de-la-societe-263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19-DCC-137 of July 17, 2019  </w:t>
        <w:br/>
        <w:t xml:space="preserve">regarding the exclusive control acquisition of the company  </w:t>
        <w:br/>
        <w:t xml:space="preserve">Établissements Louis Mazet by the Tempo One group  </w:t>
        <w:br/>
        <w:t xml:space="preserve">The Competition Authority,  </w:t>
        <w:br/>
        <w:t xml:space="preserve">Having regard to the complete notification file sent to the mergers department on June 24, 2019,  </w:t>
        <w:br/>
        <w:t xml:space="preserve">concerning the exclusive control acquisition of the company Établissements Louis Mazet by the  </w:t>
        <w:br/>
        <w:t xml:space="preserve">Tempo One group, formalized by the transfer protocol of May 29,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Tempo One group of the  </w:t>
        <w:br/>
        <w:t xml:space="preserve">company Établissements Louis Mazet. It constitutes a concentration within the meaning of Article  </w:t>
        <w:br/>
        <w:t xml:space="preserve">L. 430-1 of the Commercial Code. Given the turnover achieved by the companies concerned, the  </w:t>
        <w:br/>
        <w:t xml:space="preserve">operation does not fall under the jurisdiction of the European Union. However,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freight transport, parcel messaging,  </w:t>
        <w:br/>
        <w:t xml:space="preserve">transport commissioning, and logistics, which are consistently defined by the decision-making  </w:t>
        <w:br/>
        <w:t xml:space="preserve">practice of the Competition Authority.  </w:t>
        <w:br/>
        <w:t xml:space="preserve">3. Regardless of the segmentations retained, the cumulative market shares of the parties are  </w:t>
        <w:br/>
        <w:t xml:space="preserve">below 25%.  </w:t>
        <w:br/>
        <w:t xml:space="preserve">4. Considering the elements of the file and in particular point 384 of the guidelines of the  </w:t>
        <w:br/>
        <w:t xml:space="preserve">Competition Authority relating to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19-145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