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https://www.autoritedelaconcurrence.fr/fr/decision-de-controle-des-concentrations/relative-la-prise-de-controle-exclusif-de-la-societe-264</w:t>
      </w:r>
    </w:p>
    <w:p>
      <w:r>
        <w:t>Pages translated : 15</w:t>
      </w:r>
    </w:p>
    <w:p/>
    <w:p>
      <w:r>
        <w:rPr>
          <w:b/>
        </w:rPr>
        <w:t>[Pages 1–3]</w:t>
      </w:r>
    </w:p>
    <w:p>
      <w:r>
        <w:t>FRENCH REPUBLIC</w:t>
        <w:br/>
        <w:t>Decision No. 19-DCC-221 of November 27, 2019</w:t>
        <w:br/>
        <w:t>regarding the exclusive control of the company Distribution de Matériaux pour les Travaux Publics by the Frans Bonhomme group</w:t>
        <w:br/>
        <w:t>The Competition Authority,</w:t>
        <w:br/>
        <w:t>Having regard to the notification file submitted in full to the merger service on October 4, 2019, regarding the exclusive control of the company Distribution de Matériaux pour les Travaux Publics (hereinafter "DMTP") by the Frans Bonhomme group, formalized by a purchase promise dated July 15, 2019;</w:t>
        <w:br/>
        <w:t>Having regard to Book IV of the Commercial Code relating to the freedom of prices and competition, and in particular its Articles L. 430-1 to L. 430-7;</w:t>
        <w:br/>
        <w:t>Having regard to the commitments presented on October 21, 2019;</w:t>
        <w:br/>
        <w:t>Having regard to the additional elements submitted by the notifying party during the investigation;</w:t>
        <w:br/>
        <w:t>Adopts the following decision:</w:t>
      </w:r>
    </w:p>
    <w:p>
      <w:r>
        <w:t>Summary1</w:t>
        <w:br/>
        <w:t>By means of the decision below, the Authority examined the acquisition of DMTP by the Frans Bonhomme group.</w:t>
        <w:br/>
        <w:t>The parties are simultaneously active in the construction materials markets in France.</w:t>
        <w:br/>
        <w:t>While the operation does not raise competition concerns in the upstream markets of supply from suppliers, the Authority has considered that there are serious risks of harm to competition in several local markets for the distribution of construction materials. These are the areas where DMTP sales outlets are located in Onet-Le-Château (12), Quimper (29), and Amiens (80).</w:t>
        <w:br/>
        <w:t>In each of these areas, building and public works professionals would be deprived of a sufficient alternative offer following the operation due to the disappearance of one of the main competitors of the Frans Bonhomme group, which is not compensated by the presence of other equivalent players to DMTP.</w:t>
        <w:br/>
        <w:t>To address these competition concerns, the Frans Bonhomme group has committed to sell, to one or more operators approved by the Authority, three stores (two under the Point.P TP brand and one under the Frans Bonhomme brand).</w:t>
        <w:br/>
        <w:t>These commitments are intended to ensure the maintenance of a sufficient competitive structure in the affected areas. They thus eliminate the overlap of activities of the parties related to the operation in the areas of Onet-Le-Château and Quimper. The commitment made in the Amiens area allows for a reduction in the market share of the new entity, preserving the competitive structure of the market as it existed prior to the operation.</w:t>
        <w:br/>
        <w:t>Given the commitments made by the Frans Bonhomme group, the Authority authorized the present operation following a phase 1 review.</w:t>
        <w:br/>
        <w:t>1 This summary is strictly informative. Only the reasons for the decision numbered below are authoritative.</w:t>
      </w:r>
    </w:p>
    <w:p>
      <w:r>
        <w:t>I. The Companies Involved and the Operation</w:t>
        <w:br/>
        <w:t>1. Bonhom SAS (hereinafter "Bonhom") is the parent company of the Frans Bonhomme group, which is itself controlled by the investment fund Centerbridge Partners LP. The Frans Bonhomme group is active in the distribution of network and pipeline solutions for building and public works professionals ("BTP"), through 380 sales outlets under the Frans Bonhomme brand, 358 of which are located in France2.</w:t>
        <w:br/>
        <w:t>2. DMTP is a subsidiary of the Saint-Gobain group. It operates the Point.P Travaux Publics network (hereinafter "Point.P TP"), consisting of 58 sales outlets in France. It offers, in particular, BTP companies solutions in the areas of sanitation and stormwater management, roadways, drinking water supply, dry networks, outdoor development, tools, and structural work3.</w:t>
        <w:br/>
        <w:t>3. The operation, formalized by a purchase promise dated July 15, 2019, consists of the acquisition by Bonhom of all the shares of DMTP and, consequently, of the 58 Point.P TP sales outlets. As it results in the exclusive control of DMTP by Bonhom, the notified operation constitutes a concentration operation within the meaning of Article L. 430-1 of the Commercial Code.</w:t>
        <w:br/>
        <w:t>4. The companies involved together achieve a total worldwide turnover of more than 150 million euros (Bonhom: [≥ 150 million] euros for the fiscal year ending December 31, 2018; DMTP: [≥ 150 million] euros for the same fiscal year). Each of these companies achieves a turnover in France exceeding 50 million euros (Bonhom: [≥ 50 million] euros for the fiscal year ending December 31, 2018; DMTP: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5. The parties are simultaneously active in the construction materials sector for professionals. In this sector, they are present both upstream, as buyers of construction materials from manufacturers, and downstream, in the markets for the distribution of construction materials, primarily aimed at professionals (or trading markets).</w:t>
        <w:br/>
        <w:t>2 As of October 4, 2019.</w:t>
        <w:br/>
        <w:t>3 Point.P TP also has a production plant for precast concrete elements. The vertical effects related to this marginal activity in the upstream market for the supply of construction materials can be disregarded given the limited market shares of the parties at the national level.</w:t>
      </w:r>
    </w:p>
    <w:p>
      <w:r>
        <w:rPr>
          <w:b/>
        </w:rPr>
        <w:t>[Pages 4–6]</w:t>
      </w:r>
    </w:p>
    <w:p>
      <w:r>
        <w:t>A. THE UPSTREAM MARKETS FOR THE SUPPLY OF CONSTRUCTION MATERIALS</w:t>
        <w:br/>
        <w:t>1. PRODUCT MARKETS</w:t>
        <w:br/>
        <w:t>6. The parties purchase construction materials from various producers, which they distribute to professionals in the BTP sector.</w:t>
        <w:br/>
        <w:t>7. Regarding the supply of construction materials, competition authorities distinguish as many markets as there are families of products. Indeed, the structure of the supply, pricing dynamics, and manufacturing constraints can vary significantly from one product family to another.</w:t>
        <w:br/>
        <w:t>8. The Authority has considered the existence of several segmentations of materials intended for BTP companies, by product family, distinguishing between materials intended for buildings and materials intended for public works. Furthermore, the following segments have been specifically considered:</w:t>
        <w:br/>
        <w:t>- structural work;</w:t>
        <w:br/>
        <w:t>- tools and hardware;</w:t>
        <w:br/>
        <w:t>- water supply;</w:t>
        <w:br/>
        <w:t>- drainage pipes.</w:t>
        <w:br/>
        <w:t>9. Regarding the latter segment, the parties prefer the term "stormwater management."</w:t>
        <w:br/>
        <w:t>10. Moreover, the parties believe they are also present in a market segment related to non-collective sanitation.</w:t>
        <w:br/>
        <w:t>11. They finally propose to retain the following segmentations:</w:t>
        <w:br/>
        <w:t>- drinking water supply;</w:t>
        <w:br/>
        <w:t>- earthworks; and</w:t>
        <w:br/>
        <w:t>- dry networks.</w:t>
        <w:br/>
        <w:t>12. The majority of competitors surveyed in the market test deemed it relevant to segment the supply market between construction materials intended for public works and construction materials intended for buildings. Indeed, while some competitors believe that "the supply of these materials follows the same logistical channel," "they are not the same clients and the same suppliers," as summarized by another respondent. The same applies to the alternative segmentations proposed by the parties.</w:t>
        <w:br/>
        <w:t>13. However, it is not necessary to conclude on the exact delimitation of these markets, as, regardless of the segmentation retained, the conclusions of the competitive analysis remain unchanged.</w:t>
        <w:br/>
        <w:t>14. In this case, the parties purchase all the families of products described above.</w:t>
        <w:br/>
        <w:t>2. GEOGRAPHICAL MARKETS</w:t>
        <w:br/>
        <w:t>15. Competition authorities retain at least a national dimension for the markets of supply of construction materials. The European Commission has notably emphasized that, in such markets, competition among the main suppliers, whether in terms of marketing strategy, commercial policy, or the location of sales outlets, occurs at the level of each Member State.</w:t>
        <w:br/>
        <w:t>16. Furthermore, the market test showed that the majority of supplies come from manufacturers based in France, although some products require sourcing from abroad.</w:t>
        <w:br/>
        <w:t>17. In this case, the competitive analysis will therefore be conducted at the national level, with its conclusions remaining unchanged if it were to be carried out at a supranational level.</w:t>
        <w:br/>
        <w:t>B. THE DOWNSTREAM MARKETS FOR THE TRADE OF CONSTRUCTION MATERIALS</w:t>
        <w:br/>
        <w:t>1. PRODUCT MARKETS</w:t>
        <w:br/>
        <w:t>18. Competition authorities define the trade of construction materials as "a traditional activity through which traders sell from stock all the materials necessary for building companies." This activity consists of wholesaling a wide assortment of materials that, although not substitutable for each other, are necessary and often associated to carry out a construction project.</w:t>
        <w:br/>
        <w:t>19. The materials thus marketed are primarily intended for professionals, which implies specificities in the organization of product distribution, as well as in the breadth and depth of the ranges of materials offered. This market is thus distinguished from the retail distribution of DIY materials, as the offer from traders is primarily aimed at professionals and not at individuals, unlike large DIY stores.</w:t>
        <w:br/>
        <w:t>20. Within the trade of construction materials, the Authority distinguishes between "generalist" traders and "specialist" traders based on the depth of the range of materials distributed. Thus, the offer from "generalist" traders covers a complete assortment of product ranges and is aimed at all players in the construction sector. "Specialist" traders, whose offer is centered on a family of products, provide deeper ranges and more refined expertise on particular product lines, intended for specialized professionals. The Authority has, for example, considered that the trade specialized in sanitary-heating-air conditioning products is likely to constitute a distinct market. The existence of a market for specialized tile trading has also been considered by competition authorities, although it has not been definitively resolved.</w:t>
        <w:br/>
        <w:t>21. The majority of competitors surveyed in the market test confirmed that it is relevant to distinguish traders based on whether they are generalists or specialists. Indeed, as indicated by two competitors of the parties, "the TP-AEP product ranges offered for sale by generalist traders are very limited compared to those offered by specialist traders," and "in the markets for public works, they are not the same clients."</w:t>
        <w:br/>
        <w:t>22. In this case, the parties are simultaneously present in the specialized trade of construction materials for public works.</w:t>
        <w:br/>
        <w:t>2. GEOGRAPHICAL MARKETS</w:t>
        <w:br/>
        <w:t>23. Competition authorities consider that the market for the trade of construction materials is of a local dimension, as BTP professionals primarily make their purchases close to their area of intervention. In practice, the distances traveled by buyers of construction materials vary depending on the degree of specialization of the sales outlet concerned. Competition authorities have thus retained catchment areas with a radius of 50 kilometers from the sales outlet for generalist traders and from 50 to 75 kilometers for specialist traders.</w:t>
        <w:br/>
        <w:t>24. However, the actual behavior of consumers in a given area can be specified with data collected by sales outlets on the actual location of their clients. Generally, the catchment area of a sales outlet can be limited to that which encompasses clients representing 80% of the sales outlet's turnover or 80% of its clients, depending on the available data. The remainder is considered as occasional and insignificant clientele, sometimes very distant from the sales outlet.</w:t>
        <w:br/>
        <w:t>25. In this case, the notifying party has identified, around each target sales outlet, an area corresponding to a maximum travel distance of 75 kilometers. For each area thus delineated, on</w:t>
      </w:r>
    </w:p>
    <w:p>
      <w:r>
        <w:rPr>
          <w:b/>
        </w:rPr>
        <w:t>[Pages 7–9]</w:t>
      </w:r>
    </w:p>
    <w:p>
      <w:r>
        <w:t>in which an overlap of activity between the parties is observed and results in a cumulative market share, in value or in sales outlets, exceeding 50% and where, at most, two multiregional or national competing groups are present, the notifying party has refined the geographical delimitation of the market by defining the actual footprint of the target sales outlet based on the number of its customers.</w:t>
      </w:r>
    </w:p>
    <w:p>
      <w:r>
        <w:t>III. Competitive Analysis</w:t>
        <w:br/>
        <w:t>A. UPSTREAM MARKETS FOR CONSTRUCTION MATERIAL SUPPLY</w:t>
        <w:br/>
        <w:t>26. In the upstream markets for construction material supply, the new entity will hold a market share of less than 25%, regardless of the segmentation considered, except for stormwater sanitation materials.</w:t>
        <w:br/>
        <w:t>27. In this segment, the market share of the new entity is estimated at [20-30]% (Frans Bonhomme: [10-20]%; DMTP: [10-20]%). However, for this type of material, there are numerous competing buyers to the parties, such as SAMSE ([0-5]%), H-Tube ([0-5]%), VHM Canalisation ([0-5%]) or Pum Plastiques ([0-5%]), which provide alternatives to the new entity for manufacturers of stormwater sanitation materials.</w:t>
        <w:br/>
        <w:t>28. Furthermore, despite their purchasing share being significantly lower than that of the new entity, several competitors are significant players in the construction materials sector, such as SAMSE, whose brand achieved €451 million in revenue in France in 2018, or Saint-Gobain, which operates the Pum Plastiques brand.</w:t>
        <w:br/>
        <w:t>29. Consequently, the operation is not likely to harm competition through horizontal effects in the upstream markets for construction material supply.</w:t>
      </w:r>
    </w:p>
    <w:p>
      <w:r>
        <w:t>B. DOWNSTREAM MARKETS FOR CONSTRUCTION MATERIAL TRADE</w:t>
        <w:br/>
        <w:t>30. The operation results in an overlap of activity between the parties in the catchment areas of 58 sales outlets of the target specialized in the trade of construction materials for public works, throughout the national territory.</w:t>
        <w:br/>
        <w:t>31. The estimated market share in value of the new entity is less than 25% in two areas, which is a level that allows for the presumption of the absence of competition issues, in accordance with point 384 of the guidelines of the Competition Authority regarding merger control.</w:t>
        <w:br/>
        <w:t>21 When the market share of the new entity exceeds 50% in revenue or in the number of sales outlets, and there are at most two competing groups of national or multiregional size in their catchment area, the parties have provided actual footprints of these areas. Thus, ten areas meeting these criteria have been geographically delimited using an actual footprint: Amiens (80), Besançon (25), Bourg-en-Bresse (01), Dunkerque (59), Échirolles (38), Fontaine-Notre-Dame (59), Lomme (59), Onet-Le-Château (12), Outreau (62), and Quimper (29). In these areas, the revenues of competitors have been taken into account through data from market tests to refine the market share estimates in value provided by the parties.</w:t>
      </w:r>
    </w:p>
    <w:p>
      <w:r>
        <w:t>32. In the remaining 56 areas, the market share in value of the new entity is between 25% and 50% in 47 areas and exceeds 50% in nine areas.</w:t>
        <w:br/>
        <w:t>33. All of these areas have been subject to a thorough examination regarding the characteristics of each local market, in accordance with the decision-making practice of the Authority, which considers that the risk of reducing competition in this type of market can generally be ruled out if, following the operation, at least two national or multiregional competitors remain in the area concerned. Indeed, the presence of at least two competing brands, backed by large groups, is capable of ensuring a sufficient alternative offer to that of the new entity. Furthermore, these types of competitors have sufficient logistical and commercial capabilities to respond to a shift in demand from customers of the new entity, particularly in the event of a price increase or a decrease in service quality by the latter. The Authority considers that national or multiregional competitors correspond to groups operating through one or more brands across a large part of the national territory (and at least in two distinct regions) and that have a large number of sales outlets.</w:t>
      </w:r>
    </w:p>
    <w:p>
      <w:r>
        <w:t>Analysis of Areas Where the Market Share of the New Entity is Below 50%</w:t>
        <w:br/>
        <w:t>34. In this case, the stores of the parties will face the presence of at least two national or multiregional competitors in 46 of the areas where the market share in value of the new entity is below 50%. These competitors generally consist of the sales outlets of Saint-Gobain (Pum Plastiques brand), Bigmat, H-Tube, SAMSE, or Soval.</w:t>
        <w:br/>
        <w:t>35. In the area of Fontaine-Notre-Dame (59), the new entity will face competition from only one national player, the Saint-Gobain group, through seven stores under the Pum Plastiques brand, compared to ten stores for the new entity. However, the operation does not alter the competitive structure of the local offer in the trade of construction materials for public works. Indeed, this area is currently characterized by a duopoly consisting of the Frans Bonhomme group (nine stores) and Saint-Gobain (eight stores). Following the operation, the number of independent brands remains unchanged; only the distribution of stores and the market share in value of the two groups is modified (Frans Bonhomme: ten stores and a market share of [40-50]%; Saint-Gobain: seven stores and a market share of [50-60]%), without the operation leading to the creation or strengthening of a dominant position for either of the two players.</w:t>
        <w:br/>
        <w:t>36. Given all these elements, the operation is not likely to harm competition in the 47 overlapping activity areas between the parties where the market share of the new entity will be between 25% and 50%.</w:t>
      </w:r>
    </w:p>
    <w:p>
      <w:r>
        <w:t>Analysis of Areas Where the Market Share of the New Entity Exceeds 50%</w:t>
        <w:br/>
        <w:t>37. In nine areas, the new entity will hold a market share exceeding 50%:</w:t>
        <w:br/>
        <w:t>Areas Frans Bonhomme DMTP New entity Number of</w:t>
        <w:br/>
        <w:t>competitors</w:t>
        <w:br/>
        <w:t>Amiens (80) [30-40]% [50-60]% [80-90]% 1</w:t>
        <w:br/>
        <w:t>Besançon (25) [50-60]% [10-20]% [70-80]% 2</w:t>
        <w:br/>
        <w:t>Bergerac (24) [40-50]% [10-20]% [50-60]% 3</w:t>
        <w:br/>
        <w:t>Beauvais (60) [20-30]% [20-30]% [50-60]% 3</w:t>
        <w:br/>
        <w:t>Caudan (56) [30-40]% [10-20]% [50-60]% 3</w:t>
        <w:br/>
        <w:t>Dunkerque (59) [30-40]% [20-30]% [50-60]% 2</w:t>
        <w:br/>
        <w:t>Lomme (59) [20-30]% [20-30]% [50-60]% 3</w:t>
        <w:br/>
        <w:t>Onet-Le-Château [30-40]% [40-50]% [70-80]% 1</w:t>
        <w:br/>
        <w:t>(12)</w:t>
        <w:br/>
        <w:t>Quimper (29) [50-60]% [20-30]% [70-80]% 1</w:t>
        <w:br/>
        <w:t>38. Regarding the areas of Bergerac (24), Caudan (56), Lomme (59), and Beauvais (60), the stores of the parties will face the presence of sales outlets from three national or multiregional competitors, such as Saint-Gobain, H-Tube, VHM Canalisation, or Libaud, which are credible alternatives for BTP professionals.</w:t>
        <w:br/>
        <w:t>39. Regarding the area of Dunkerque (59), the risks of harming competition can also be ruled out due to the presence in the areas of the national competitor Saint-Gobain and a BVP Socca agency, a member of the Bigmat network.</w:t>
        <w:br/>
        <w:t>40. Regarding the area of Besançon (25), Frans Bonhomme holds seven sales outlets before the operation, one in the Besançon urban area, with the others located near the border of the area, between 43 and 66 kilometers (by car) from the target sales outlet Point.P TP, located in the Besançon urban area. In this urban area, there is also a Pum Plastiques sales outlet and a VHM sales outlet. It appears from the geographical distribution of the sales outlets in the area (see map below) that the target sales outlet is in direct proximity to its two competitors (4 minutes by car from the VHM sales outlet and 11 minutes from the Pum Plastiques sales outlet). The immediate proximity of these two competitors at the heart of the area where the target store is located allows for the exclusion of any risk of harming competition in the entire area, given the spatial distribution of the parties' stores, isolated at the edge of the area.</w:t>
      </w:r>
    </w:p>
    <w:p>
      <w:r>
        <w:rPr>
          <w:b/>
        </w:rPr>
        <w:t>[Pages 10–12]</w:t>
      </w:r>
    </w:p>
    <w:p>
      <w:r>
        <w:t>Establishment of construction materials trading outlets for public works in the Besançon area:</w:t>
        <w:br/>
        <w:t>Legend: Black point: Point.P TP / Orange points – Frans Bonhomme</w:t>
        <w:br/>
        <w:t>Blue points: Pum Plastiques / Green point: VHM</w:t>
        <w:br/>
        <w:t>41. Given all these elements, the operation is not likely to harm competition in these six overlapping activity areas between the parties where the market share of the new entity will exceed 50%.</w:t>
        <w:br/>
        <w:t>42. In the remaining three areas (Onet-Le-Château, Quimper, and Amiens), the market share by value of the new entity exceeds 70%, with the presence of only one competitor:</w:t>
        <w:br/>
        <w:t>Areas Frans Bonhomme DMTP New entity Saint-Gobain</w:t>
        <w:br/>
        <w:t>Onet-Le-Château [30-40]% [40-50]% [70-80]% [20-30]%</w:t>
        <w:br/>
        <w:t>Quimper [50-60]% [20-30]% [70-80]% [20-30]%</w:t>
        <w:br/>
        <w:t>Amiens [30-40]% [50-60]% [80-90]% [10-20]%</w:t>
        <w:br/>
        <w:t>1. ONET-LE-CHÂTEAU AREA (12)</w:t>
        <w:br/>
        <w:t>43. Following the operation, the new entity will hold two specialist construction materials trading outlets for public works, located in Onet-Le-Château (12) and Rodez (12).</w:t>
        <w:br/>
        <w:t>44. In this area, there is only one national competitor, Saint-Gobain, operating a store under the Pum Plastiques brand, located in Olemps (12).</w:t>
        <w:br/>
        <w:t>45. Before the operation, the area was already experiencing a duopoly situation, with two stores owned by Saint-Gobain ([60-70]% market share) and one store owned by Frans Bonhomme ([30-40]%). The acquisition of the Point.P TP store by Frans Bonhomme leaves a duopolistic structure in the local market, but has the effect of significantly strengthening the market share by value of one of the two players ([70-80]%, representing a market share increase related to the operation of [40-50] points), which could thus engage in a strategy of unilateral price increases.</w:t>
        <w:br/>
        <w:t>46. Consequently, there are serious doubts that the operation could produce unilateral effects in the Onet-Le-Château area.</w:t>
        <w:br/>
        <w:t>47. In order to alleviate this serious doubt regarding harm to competition, the notifying party proposed, on October 21, 2019, to sell the Point.P TP outlet in Onet-Le-Château to a competitor. This commitment should eliminate the overlap of activities between the parties to the operation.</w:t>
        <w:br/>
        <w:t>48. Consequently, subject to compliance with this commitment, described in Section IV below, the operation is not likely to harm competition in the Onet-Le-Château area.</w:t>
        <w:br/>
        <w:t>2. QUIMPER AREA (29)</w:t>
        <w:br/>
        <w:t>49. Following the operation, the new entity will hold twelve specialist trading outlets for public works, located in Quimper (29), Concarneau (29), Ploneour (29), Lanvern (29), Douarnenez (29), Quimperle (29), Queven (56), Caudan (56), Hennebont (56), Ploudaniel (29), Gouesnou (29), and Carhaix Plouguer (29).</w:t>
        <w:br/>
        <w:t>50. In this area, there is only one national competitor, the Saint-Gobain group, operating three stores under the Pum Plastique brand, located in Brest (29), Quimper (29), and Caudan (56).</w:t>
        <w:br/>
        <w:t>51. Before the operation, the area was already experiencing a duopoly situation, with five stores owned by Saint-Gobain ([40-50]% market share) and ten stores owned by Frans Bonhomme ([50-60]% market share). The acquisition of the Point.P TP store by Frans Bonhomme leaves a duopolistic structure in the local market, but has the effect of significantly strengthening the market share of one of the two players ([70-80]%, representing a market share increase related to the operation of [20-30] points), which could thus engage in a strategy of unilateral price increases.</w:t>
        <w:br/>
        <w:t>52. Consequently, there are serious doubts that the operation could produce unilateral effects in the Quimper area.</w:t>
        <w:br/>
        <w:t>53. In order to alleviate this serious doubt regarding harm to competition, the notifying party proposed, on October 21, 2019, to sell the Point.P TP outlet in Quimper to a competitor. This commitment should eliminate the overlap of activities between the parties to the operation.</w:t>
        <w:br/>
        <w:t>54. Consequently, subject to compliance with this commitment, described in Section IV below, the operation is not likely to harm competition in the Quimper area.</w:t>
        <w:br/>
        <w:t>3. AMIENS AREA (80)</w:t>
        <w:br/>
        <w:t>55. Following the operation, the new entity will hold three specialist trading outlets for public works, located in Amiens (80) and Camon (80).</w:t>
        <w:br/>
        <w:t>56. In this area, there is only one national competitor, Saint-Gobain, operating a store under the Pum Plastiques brand, located in Vauchelles Les Quesnoy (80).</w:t>
        <w:br/>
        <w:t>57. Before the operation, the area was already experiencing a duopoly situation, with two stores owned by Saint-Gobain ([60-70]% market share) and two stores owned by Frans Bonhomme ([30-40]% market share).</w:t>
        <w:br/>
        <w:t>58. The acquisition of the Point.P TP store by Frans Bonhomme leaves a duopolistic structure in the local market, but has the effect of significantly strengthening the market share of one of the two players ([80-90]%, representing a market share increase related to the operation of [50-60] points), which could thus engage in a strategy of unilateral price increases.</w:t>
        <w:br/>
        <w:t>59. Consequently, there are serious doubts that the operation could produce unilateral effects in the Amiens area.</w:t>
        <w:br/>
        <w:t>60. In order to alleviate this serious doubt regarding harm to competition, the notifying party proposed, on October 21, 2019, to sell the Frans Bonhomme outlet located in Camon (80) to a competitor. This commitment should preserve the competitive structure of the market as it existed before the operation. Consequently, subject to compliance with this commitment, described in Section IV below, the operation is not likely to harm competition in the Amiens area.</w:t>
      </w:r>
    </w:p>
    <w:p>
      <w:r>
        <w:rPr>
          <w:b/>
        </w:rPr>
        <w:t>[Pages 13–15]</w:t>
      </w:r>
    </w:p>
    <w:p>
      <w:r>
        <w:t>IV. The Commitments</w:t>
        <w:br/>
        <w:t>61. In order to address the identified risks of harm to competition, the notifying party submitted, on October 21, 2019, a proposal for commitments, the text of which, attached as an annex, forms an integral part of this decision.</w:t>
        <w:br/>
        <w:t>A. THE PROPOSED COMMITMENTS</w:t>
        <w:br/>
        <w:t>62. The proposed commitments aim to remedy the anti-competitive effects of the operation that arise through horizontal effects on the downstream markets for the distribution of construction materials for public works.</w:t>
        <w:br/>
        <w:t>63. They consist of the divestiture of three sales outlets in the areas where the positions of the new entity exceed 50% with only one competitor present, despite a duopolistic situation prevailing before the operation.</w:t>
        <w:br/>
        <w:t>64. In order to address the identified unilateral effects risks in the areas of Onet-Le-Château (12), Quimper (29), and Amiens (80), Frans Bonhomme has committed to divest, to one or more purchasers, two Point.P TP sales outlets and one Frans Bonhomme sales outlet.</w:t>
        <w:br/>
        <w:t>65. For a period of ten years, Frans Bonhomme will not be able to reacquire all or part of the divested stores, nor acquire direct or indirect influence over them.</w:t>
        <w:br/>
        <w:t>66. The purchasers must be independent, both legally and commercially, from the Frans Bonhomme group and have no capital ties, direct or indirect, with it. They must possess the financial resources and the appropriate skills to be able to preserve and develop, in a viable manner, the capacity of the divested activities to actively compete with the new entity in the construction materials distribution sector in each of these three areas.</w:t>
        <w:br/>
        <w:t>67. Finally, Frans Bonhomme commits to appointing an independent representative whose mission will be to ensure the proper execution of all its obligations, particularly regarding the implementation of the conditions of the divestiture process and the maintenance of the viability, market value, and competitiveness of the divested assets.</w:t>
        <w:br/>
        <w:t>B. ASSESSMENT OF THE PROPOSED COMMITMENTS</w:t>
        <w:br/>
        <w:t>1. ON THE PRINCIPLES GUIDING THIS ASSESSMENT</w:t>
        <w:br/>
        <w:t>68. In the case of a horizontal concentration, the Authority primarily seeks structural corrective measures, which aim to ensure competitive market structures through divestitures of activities to an appropriate purchaser capable of exercising real competition, or the elimination of capital ties between competitors.</w:t>
        <w:br/>
        <w:t>69. The Authority ensures that the commitments meet several criteria:</w:t>
        <w:br/>
        <w:t>- they must be effective, meaning they must effectively remedy the identified harms to competition;</w:t>
        <w:br/>
        <w:t>- their implementation must not raise doubts, which implies that they are drafted precisely, without ambiguity, and that the operational modalities for their realization are sufficiently detailed;</w:t>
        <w:br/>
        <w:t>- their implementation must be swift, as competition is not preserved until they are realized;</w:t>
        <w:br/>
        <w:t>- they must be controllable.</w:t>
        <w:br/>
        <w:t>70. In this case, the proposed commitments have the effect of either eliminating any overlap of activities in the markets where a risk of harm to competition has been identified, or limiting the strengthening of activities between the parties while maintaining the competitive structure of the market as it prevails before the operation.</w:t>
        <w:br/>
        <w:t>71. Furthermore, the effectiveness of the remedies depends on the divestiture of the concerned assets to one or more appropriate purchasers. To restore sufficient competitive conditions, the purchaser(s) must be capable of effectively competing with the new entity in the relevant markets.</w:t>
        <w:br/>
        <w:t>72. This implies that any purchaser must present all guarantees of viability and independence, both legal and commercial, with respect to the Frans Bonhomme group. Therefore, it must be a player in the distribution of construction materials for public works, independent of the Frans Bonhomme group throughout the entire value chain, from supply to retail sale, and capable of ensuring the sustainable operation of the divested assets.</w:t>
        <w:br/>
        <w:t>73. Finally, the acquisition of the sales outlet must not be likely to create new harms to competition in the relevant area, by strengthening the position of an already established competitor, especially in an already concentrated market.</w:t>
        <w:br/>
        <w:t>2. ON THE APPROPRIATENESS OF THE PROPOSED COMMITMENTS</w:t>
        <w:br/>
        <w:t>74. The sales outlets concerned by the commitments are as follows:</w:t>
        <w:br/>
        <w:t>Area Divested Stores Address City</w:t>
        <w:br/>
        <w:t>Quimper Point.P TP allée de l’Abbé Grégoire 29 000</w:t>
        <w:br/>
        <w:t>Zone industrielle du Grand Quimper</w:t>
        <w:br/>
        <w:t>Guelen</w:t>
        <w:br/>
        <w:t>Onet-Le-Château Point.P TP 805 avenue du Causse Zone de 12 850</w:t>
        <w:br/>
        <w:t>Bel Air Onet-Le-Château</w:t>
        <w:br/>
        <w:t>Amiens Frans Bonhomme Blanche Tâche 80 450</w:t>
        <w:br/>
        <w:t>Route de Corbie Camon</w:t>
        <w:br/>
        <w:t>75. The proposed commitments eliminate overlaps in the areas of Onet-Le-Château and Quimper and preserve the competitive structure of the market as it prevails before the operation in the area of Amiens.</w:t>
        <w:br/>
        <w:t>76. Therefore, all of these commitments are sufficient to remedy the risks of harm to competition that may result from the acquisition of DMTP by Frans Bonhomme.</w:t>
        <w:br/>
        <w:t>DECIDES</w:t>
        <w:br/>
        <w:t>Sole Article: The operation notified under number 19-189 is authorized subject to the commitments described in paragraphs 61 to 76 above and annexed to this decision.</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