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https://www.autoritedelaconcurrence.fr/fr/decision-de-controle-des-concentrations/relative-la-prise-de-controle-exclusif-de-la-societe-265</w:t>
      </w:r>
    </w:p>
    <w:p>
      <w:r>
        <w:t>Pages translated : 10</w:t>
      </w:r>
    </w:p>
    <w:p/>
    <w:p>
      <w:r>
        <w:rPr>
          <w:b/>
        </w:rPr>
        <w:t>[Pages 1–3]</w:t>
      </w:r>
    </w:p>
    <w:p>
      <w:r>
        <w:t>FRENCH REPUBLIC</w:t>
        <w:br/>
        <w:t>Decision No. 19-DCC-229 of December 11, 2019</w:t>
        <w:br/>
        <w:t>regarding the exclusive control of the company Aéroport de Toulouse-Blagnac by the Eiffage group</w:t>
        <w:br/>
        <w:t>The Competition Authority,</w:t>
        <w:br/>
        <w:t>Having regard to the notification file submitted in full to the mergers service on November 8, 2019, regarding the exclusive control of the company Aéroport de Toulouse-Blagnac by the Eiffage group, formalized by a transfer agreement dated July 22, 2019;</w:t>
        <w:br/>
        <w:t>Having regard to Book IV of the Commercial Code relating to the freedom of prices and competition, and in particular its Articles L. 430-1 to L. 430-7;</w:t>
        <w:br/>
        <w:t>Having regard to the supplementary elements transmitted by the notifying party during the investigation;</w:t>
        <w:br/>
        <w:t>Adopts the following decision:</w:t>
      </w:r>
    </w:p>
    <w:p>
      <w:r>
        <w:t>Summary1</w:t>
        <w:br/>
        <w:t>The Authority authorized the acquisition of the stake previously held by the company Casil Europe in the company Aéroport de Toulouse-Blagnac ("ATB"), the managing company of Toulouse airport (31), by the Eiffage group.</w:t>
      </w:r>
    </w:p>
    <w:p>
      <w:r>
        <w:t>The parties to the transaction are simultaneously active in the airport concession market, but given their combined market share, any risk of harm to competition could be ruled out.</w:t>
      </w:r>
    </w:p>
    <w:p>
      <w:r>
        <w:t>The transaction is also likely to produce vertical effects insofar as it involves the takeover of an airport concessionaire company by a group active in the public works sector. The Authority therefore analyzed the effects of the concentration on the markets for construction and maintenance of airport infrastructures. At the end of its analysis, the Authority ruled out any risk of harm to competition in these markets given that almost all contracts awarded by ATB are subject to a publicity or competitive bidding procedure governed by the provisions of the Public Procurement Code, that the Eiffage group does not constitute a significant supplier to ATB, and that it represents only a negligible share of ATB's purchases each year.</w:t>
      </w:r>
    </w:p>
    <w:p>
      <w:r>
        <w:t xml:space="preserve">Given this analysis, the Authority authorized the operation without conditions. </w:t>
        <w:br/>
        <w:t>1 This summary is strictly informative. Only the reasons for the decision numbered below are authoritative.</w:t>
      </w:r>
    </w:p>
    <w:p>
      <w:r>
        <w:t>I. The companies concerned and the operation</w:t>
        <w:br/>
        <w:t>1. The French group Eiffage is organized around four main branches: (i) the "Construction" branch which ensures the construction of new or rehabilitated buildings, real estate development, and urban planning; (ii) the "Infrastructures" branch related to the design and construction of road infrastructures, civil engineering infrastructures, and metal constructions; (iii) the "Energy Systems" branch related to electrical, industrial, climatic, and energy engineering systems; and (iv) the "Concessions" branch (highways, Lille-Lesquin airport2).</w:t>
      </w:r>
    </w:p>
    <w:p>
      <w:r>
        <w:t>2. Aéroport de Toulouse-Blagnac (hereinafter "ATB") is a public limited company with a management board and a supervisory board. ATB is the concessionaire company that manages the Toulouse-Blagnac airport (31)3. ATB is controlled by the company Casil Europe4, which holds 49.99% of the capital, the remainder being held by public shareholders (State, Chamber of Commerce and Industry of Toulouse, Occitanie region, Haute-Garonne department, and Toulouse Métropole). ATB fully owns the capital of the companies ATBDH and ATBD2i, responsible respectively for hotel and real estate development within the airport. It jointly controls the company SEFTA, responsible for managing the Toulouse Francazal aerodrome (31)5.</w:t>
      </w:r>
    </w:p>
    <w:p>
      <w:r>
        <w:t>3. The notified operation consists of the acquisition by the Eiffage group of the entirety of the stake held by Casil Europe in the capital of ATB, with the distribution of the remaining share capital among the public shareholders remaining unchanged after the operation. [Confidential].</w:t>
      </w:r>
    </w:p>
    <w:p>
      <w:r>
        <w:t>4. Regarding the governance of ATB, it appears from its statutes that its management board is composed of two to five members appointed by the supervisory board. Decisions are made by a majority of the members present. In the event of a tie, the vote of the president, designated after the operation by the Eiffage group, is preponderant. The strategic commercial decisions of ATB (adoption of the multi-year strategic plan, multi-year investment plan, budget, and contracts made under Article L. 6325-2 of the Transport Code) cannot be adopted by the management board without the authorization of the supervisory board. These authorizations are decided by a two-thirds majority concerning the adoption of the strategic and investment multi-year plans and by a simple majority concerning the budget.</w:t>
      </w:r>
    </w:p>
    <w:p>
      <w:r>
        <w:t>5. Following the operation, the Eiffage group will hold 49.99% of the capital of ATB. Furthermore, it will be able to appoint six members of the supervisory board, which comprises fifteen members. [Confidential]. In this capacity, the Eiffage group will therefore be the only shareholder able to block the adoption of ATB's strategic decisions by the supervisory board6.</w:t>
      </w:r>
    </w:p>
    <w:p>
      <w:r>
        <w:t>6. As it results in the exclusive control of ATB by the Eiffage group, the notified operation constitutes a concentration within the meaning of Article L. 430-1 of the Commercial Code.</w:t>
        <w:br/>
        <w:t>2 Eiffage will operate the concession of Lille-Lesquin airport for a duration of 20 years, starting from January 1, 2020.</w:t>
        <w:br/>
        <w:t>3 As part of a concession agreement in force until 2046 and a specifications document provided by Decree No. 2007-244 of February 23, 2007, relating to aerodromes owned by the State and approving a standard specifications document applicable to the concession of these aerodromes.</w:t>
        <w:br/>
        <w:t>4 Casil Europe is owned by a Chinese company*, Shandong Hi-Speed Group (51%) and by a company registered in the British Virgin Islands*, Friedmann Pacific AM (49%). - * Correction of material error.</w:t>
        <w:br/>
        <w:t>5 Located in the municipality of Portet-sur-Garonne, the Toulouse Francazal aerodrome mainly hosts business aviation flights.</w:t>
        <w:br/>
        <w:t>6 Guidelines of the Competition Authority regarding the control of concentrations, point 32.</w:t>
      </w:r>
    </w:p>
    <w:p>
      <w:r>
        <w:rPr>
          <w:b/>
        </w:rPr>
        <w:t>[Pages 4–6]</w:t>
      </w:r>
    </w:p>
    <w:p>
      <w:r>
        <w:t>7. The companies concerned together achieve a total worldwide turnover of more than 150 million euros (Eiffage: 16.6 billion for the fiscal year ending December 31, 2018; ATB: 151.6 million for the same fiscal year). Each of these companies achieves, in France, a turnover exceeding 50 million euros (Eiffage: 12.3 billion for the fiscal year ending December 31, 2018; ATB: 121.4 million for the same fiscal year). Given these turnovers, the operation does not have a European dimension. However, the control thresholds mentioned in I of Article L. 430-2 of the Commercial Code are exceeded. Therefore, the present operation is subject to the provisions of Articles L. 430-3 and following of the Commercial Code, relating to economic concentration.</w:t>
      </w:r>
    </w:p>
    <w:p>
      <w:r>
        <w:t>II. Definition of Relevant Markets</w:t>
      </w:r>
    </w:p>
    <w:p>
      <w:r>
        <w:t>8. The Eiffage group and ATB are present in the sector of airport management and operation, which includes notably the upstream market for the granting of airport concessions, the only market where the activities of the parties overlap horizontally (A). The markets for tenders in airport works are also concerned by the operation insofar as there is a vertical link between the public works activities of the Eiffage group and the tenders launched by ATB for this type of work (B).</w:t>
      </w:r>
    </w:p>
    <w:p>
      <w:r>
        <w:t>A. THE MARKET FOR GRANTING AIRPORT CONCESSIONS</w:t>
      </w:r>
    </w:p>
    <w:p>
      <w:r>
        <w:t>1. THE PRODUCT MARKET</w:t>
      </w:r>
    </w:p>
    <w:p>
      <w:r>
        <w:t>9. The market for granting a management concession for an airport consists of an economic activity where the supply is represented by the public administration and the demand by companies interested in obtaining the concession. In such a market, competition occurs at the time of the competitive bidding process.</w:t>
      </w:r>
    </w:p>
    <w:p>
      <w:r>
        <w:t>10. In their decision-making practices, the Competition Authority and the European Commission have defined a single market for the granting of management and operation concessions for airports.</w:t>
      </w:r>
    </w:p>
    <w:p>
      <w:r>
        <w:t>11. There is no need to revisit this decision-making practice in the context of the present decision.</w:t>
      </w:r>
    </w:p>
    <w:p>
      <w:r>
        <w:t>2. THE GEOGRAPHIC MARKET</w:t>
      </w:r>
    </w:p>
    <w:p>
      <w:r>
        <w:t>12. The competition authorities have not pronounced on the exact geographic delimitation of the market for granting airport concessions. The Commission has considered that this market could be of European dimension, or even global, as bidding consortia also consist of non-European companies. The Authority has not excluded the national dimension of this market.</w:t>
      </w:r>
    </w:p>
    <w:p>
      <w:r>
        <w:t>13. However, the exact delimitation of this market can be left open as the conclusions of the competitive analysis remain unchanged regardless of the geographic delimitation retained.</w:t>
      </w:r>
    </w:p>
    <w:p>
      <w:r>
        <w:t>B. THE MARKETS FOR TENDERS IN AIRPORT WORKS</w:t>
      </w:r>
    </w:p>
    <w:p>
      <w:r>
        <w:t>1. THE STATUS OF ATB AS A CONTRACTING ENTITY</w:t>
      </w:r>
    </w:p>
    <w:p>
      <w:r>
        <w:t>14. In its opinion no. 10-A-04 of February 22, 2010, regarding a request for an opinion from the Association for the Maintenance of Competition on Networks and Infrastructures (AMCRI) concerning competition issues that may arise from the privatization of French airports, the Authority recalled that regional airport companies (hereinafter "SAR") are contracting entities subject to the competitive bidding rules provided by Directive 2004/17/EC coordinating the procedures for the award of contracts in the sectors of water, energy, transport, and postal services. In France, this directive has been transposed by Ordinance No. 2005-649 of June 6, 2005, concerning contracts awarded by certain public or private entities not subject to the public procurement code, which applies to SAR.</w:t>
      </w:r>
    </w:p>
    <w:p>
      <w:r>
        <w:t>15. Directive 2004/17/EC has since been repealed and replaced by Directive 2014/25/EU of February 26, 2014, concerning the award of contracts by entities operating in the sectors of water, energy, transport, and postal services. In national law, Ordinance No. 2015-899 of July 23, 2015, concerning public contracts has notably transposed Directive 2014/25/EU. These provisions have subsequently been codified within the Public Procurement Code by Ordinance No. 2018-1074 of November 26, 2018, concerning the legislative part of the Public Procurement Code, and by Decree No. 2018-1075 of December 3, 2018, concerning the regulatory part of the Public Procurement Code.</w:t>
      </w:r>
    </w:p>
    <w:p>
      <w:r>
        <w:t>16. It follows from the combined reading of Articles L. 1212-1 and L. 1212-3 of the Public Procurement Code that private law entities benefiting, under a legally taken provision, from special or exclusive rights that reserve the exercise of a network operator activity in the sectors of energy, water, transport, and postal services, and substantially affect the ability of other economic operators to exercise this activity, are considered as contracting entities.</w:t>
      </w:r>
    </w:p>
    <w:p>
      <w:r>
        <w:t>17. Furthermore, it results from the third paragraph of Article L. 1212-3 of the Public Procurement Code that the management of an airport is a network operator activity and that, in light of the above, the private company managing it must be considered as a contracting entity within the meaning of Article L. 1212-1 of the aforementioned code, subject to a number of publicity and competitive bidding obligations for the award of these contracts.</w:t>
      </w:r>
    </w:p>
    <w:p>
      <w:r>
        <w:t>18. Following the operation, ATB will therefore remain a contracting entity subject to the publicity and competitive bidding obligations defined by the Public Procurement Code.</w:t>
      </w:r>
    </w:p>
    <w:p>
      <w:r>
        <w:t>2. THE SECTOR OF CONSTRUCTION AND MAINTENANCE OF AIRPORT INFRASTRUCTURES</w:t>
      </w:r>
    </w:p>
    <w:p>
      <w:r>
        <w:t>19. In this case, given the specific characteristics of ATB, acting as a contracting entity, the markets for construction and maintenance works of airport infrastructures at Toulouse-Blagnac airport are markets concerned by the operation.</w:t>
      </w:r>
    </w:p>
    <w:p>
      <w:r>
        <w:t>20. In its opinion no. 10-A-04 mentioned above, the Authority identified the markets for construction and maintenance works of infrastructures present on airport platforms, as well as the markets for the supply of equipment. On these markets, the demand is constituted by airport managers and the supply comes from private operators active in the sectors of public works, construction, and equipment.</w:t>
      </w:r>
    </w:p>
    <w:p>
      <w:r>
        <w:t>21. The construction and maintenance works of airport infrastructures are carried out during the creation (or extension) of an airport or for the maintenance or improvement of existing infrastructures. The scope and conditions of these works are, in principle, different. Construction particularly requires large-scale earthworks, sanitation, runway construction, construction of civil engineering works, and various buildings (terminal, aircraft hangars, storage areas, etc.). Maintenance and improvement generally involve smaller-scale works, without interruption of air traffic, which requires specific know-how, even specific qualifications.</w:t>
      </w:r>
    </w:p>
    <w:p>
      <w:r>
        <w:t>22. In terms of public works, the Commission has notably segmented these markets based on the size of the projects, considering that the conditions of competition differ significantly between small and large projects. In this regard, although there is no threshold to distinguish the size of projects, generally, the higher the amount of a construction or renovation project, the fewer the number of companies technically capable of responding. Conversely, when projects concern markets for works and maintenance of infrastructures or buildings of low value, more construction companies, including small and medium-sized enterprises of local or regional scope, are likely to participate in the tenders.</w:t>
      </w:r>
    </w:p>
    <w:p>
      <w:r>
        <w:t>23. Thus, the Commission has distinguished between projects with a value exceeding 5 million euros and projects with a value below 5 million euros in France, notably because this threshold corresponds to the amount from which the formal procedure becomes mandatory under Article L. 2124-1 of the Public Procurement Code.</w:t>
      </w:r>
    </w:p>
    <w:p>
      <w:r>
        <w:t>24. For the purposes of this analysis, the market retained will be that of construction and maintenance works of airport infrastructures within which the competitive analysis will be conducted taking into account the applicable legal provisions.</w:t>
      </w:r>
    </w:p>
    <w:p>
      <w:r>
        <w:rPr>
          <w:b/>
        </w:rPr>
        <w:t>[Pages 7–9]</w:t>
      </w:r>
    </w:p>
    <w:p>
      <w:r>
        <w:t xml:space="preserve">III. Competitive Analysis  </w:t>
        <w:br/>
        <w:t xml:space="preserve">25. The operation is likely to produce horizontal effects on the upstream market for airport concessions (A). Furthermore, insofar as it results in entrusting the management of the airport to a company also active in upstream public works markets, the operation is likely to reduce competition when awarding contracts for works, supplies, and services on the airport premises of Toulouse-Blagnac airport (B).  </w:t>
        <w:br/>
        <w:t xml:space="preserve">A. ANALYSIS OF HORIZONTAL EFFECTS  </w:t>
        <w:br/>
        <w:t xml:space="preserve">26. As of the date of notification of the operation, the Eiffage group does not manage any airport in the European Union. However, given that it will be the concessionaire of Lille-Lesquin airport (59) starting January 1, 2020, it should be considered that the Eiffage group is present in the upstream market for airport concessions.  </w:t>
        <w:br/>
        <w:t xml:space="preserve">27. Following the operation, the Eiffage group will manage two regional airports in France, representing a traffic of 11.6 million passengers in 2018. The notifying party estimates that its combined market share will be 1.2% in a market of European dimension. In the case of a national market, the new entity will represent 5.6% of annual passenger traffic in 2018.  </w:t>
        <w:br/>
        <w:t xml:space="preserve">28. Given these limited market shares, the operation is not likely to harm competition in the market for granting airport concessions through horizontal effects.  </w:t>
        <w:br/>
        <w:t xml:space="preserve">B. ANALYSIS OF VERTICAL EFFECTS ON THE MARKETS FOR WORKS AND MAINTENANCE OF AIRPORT INFRASTRUCTURES  </w:t>
        <w:br/>
        <w:t xml:space="preserve">29. It is necessary to examine the effects resulting from the vertical integration that arises from the acquisition of an airport concessionaire company by a group active in the public works sector. In this case, the likelihood that the concentration distorts competition in these markets through vertical effects depends on the ability of the new entity to restrict its competitors' access to the markets for works and maintenance of airport infrastructures (i), its incentive to implement such a strategy (ii), and the effects of this strategy on the markets in question (iii).  </w:t>
        <w:br/>
        <w:t xml:space="preserve">30. In its opinion no. 10-A-04 mentioned above, the Authority emphasized that the possibility of subjecting companies owned by private interests to competitive bidding procedures is a notable specificity of the regulation of contracts awarded in special sectors. This is justified by the fact that holders of special or exclusive rights are in a monopoly situation over the network or the non-reproducible infrastructure they operate as part of a public service mission.  </w:t>
        <w:br/>
        <w:t xml:space="preserve">31. The regime resulting from the ordinance of July 23, 2015, and its implementing decree of March 25, 2016, codified in the Public Procurement Code, transposes the obligations arising from the aforementioned Directive 2014/25 regarding the award criteria for contracts awarded by contracting entities. The thresholds for competitive bidding are currently set at 5,548,000 euros excluding taxes for works contracts and 443,000 euros excluding taxes for supply and service contracts.  </w:t>
        <w:br/>
        <w:t xml:space="preserve">32. For contracts exceeding these thresholds, Articles L. 2124-1 and following of the Public Procurement Code require the use of one of the formalized procedures: the call for tenders, the negotiated procedure, or the competitive dialogue. All of these procedures involve the publication of a market call notice in the Official Journal of the European Union, the definition of objective selection criteria, the obligation to choose the "most economically advantageous" offer, and the obligation to inform candidates of the reasons why they were not selected, who may, if applicable, contest the contract award decision before the competent court.  </w:t>
        <w:br/>
        <w:t xml:space="preserve">33. Below these thresholds, the buyer may use an adapted procedure, as defined in Article L. 2123-1 of the Public Procurement Code. In this framework, the buyer freely defines the terms of the contract award, in compliance with the principles of public procurement. Thus, the buyer is required to implement an adapted publicity procedure under the conditions defined in Article R. 2131-12 of the aforementioned code, to specify the award criteria and the terms of their implementation, and to choose the most economically advantageous offer.  </w:t>
        <w:br/>
        <w:t xml:space="preserve">34. Furthermore, according to the provisions of Article R. 2122-8 of the Public Procurement Code for contracts below 25,000 euros, the buyer may enter into a contract without prior publicity or competitive bidding. In this context, the buyer ensures to choose a relevant offer, to make good use of public funds, and not to contract systematically with the same economic operator.  </w:t>
        <w:br/>
        <w:t xml:space="preserve">35. Finally, Article L. 2511-7 of the Public Procurement Code allows contracting entities not to resort to competitive bidding procedures when contracts are concluded with a related company.  </w:t>
        <w:br/>
        <w:t xml:space="preserve">36. Nevertheless, Article 62 of the standard specifications for airport concession contracts provides that "the works contracts of the concessionaire are subject to the publicity and competitive bidding procedures provided for by Ordinance No. 2005-649 of June 6, 2005, relating to contracts awarded by certain public or private entities not subject to the Public Procurement Code, even when they are awarded to a company related within the meaning of Article 29 of this same ordinance."  </w:t>
        <w:br/>
        <w:t xml:space="preserve">37. Thus, the State has neutralized, concerning airport concessions, Article L. 2511-7 of the Public Procurement Code. However, as noted by the Authority in its opinion no. 10-A-04 mentioned above, this stricter rule applies only to works contracts, while supply and service contracts are not subject to Article 62 of the standard specifications for airport concessions.  </w:t>
        <w:br/>
        <w:t xml:space="preserve">38. Following the operation, the Eiffage group, acting as a contracting entity, will therefore be able to allocate all or part of ATB's needs for supplies and services to one or more of its subsidiaries in the building, infrastructure, or energy systems branches, regardless of the contract amount. For example, all needs in the areas of climate engineering, electrical engineering, or infrastructure engineering services could be entrusted to subsidiaries of the Eiffage group present in these sectors.  </w:t>
        <w:br/>
        <w:t xml:space="preserve">39. Nevertheless, in this case, it appears from the data provided by the notifying party that ATB has used, for all the contracts it has awarded, including works, supplies, and services, an average of [110-130] competitive bidding procedures per year during the period 2013-2018. The total of these contracts subject to publicity and competitive bidding represented approximately […] million euros of awarded contracts, or [90-100]% of the total contracts by value. Thus, the majority of ATB's contracts, by value, are subject to a regulated procedure of publicity and competitive bidding.  </w:t>
        <w:br/>
        <w:t xml:space="preserve">40. More specifically, regarding the formalized procedures, to which the strictest publicity and competitive bidding procedures apply, these represent on average for the period 2013-2018 nearly [10-20]% of the number of contracts, across all types of contracts, but more than [50-60]% of the total of these contracts by value. Regarding works contracts, during this period, a substantial share of these contracts awarded by ATB, for a volume of […] million euros out of a total of […] million euros, fell under the formalized procedure for which the contracting entity is required to comply with strict obligations of publicity and competitive bidding. Similarly, regarding service contracts, for which the thresholds are lower, the use of the formalized procedure is more significant, since, for the period 2013-2018, the majority of ATB's service contracts, for a volume of […] million euros out of a total of […] million euros, fell under the formalized procedure.  </w:t>
        <w:br/>
        <w:t xml:space="preserve">41. Thus, given these proportions, the scope of Article 62 of ATB's specifications is not limited, and the obligation for competitive bidding imposed by this article will apply to a substantial share of the works contracts awarded by the target. Therefore, following the operation, ATB will not be able to favor the offers of the subsidiaries of the Eiffage group regarding works contracts.  </w:t>
        <w:br/>
        <w:t xml:space="preserve">42. Finally, it appears from the data provided by the parties that ATB was not a privileged customer of the Eiffage group regardless of the type of contracts, as during the period 2013-2018, it received [confidential] offers from ATB that were not selected. Furthermore, the Eiffage group is not a significant supplier to ATB in terms of airport infrastructures since it was awarded only […] contracts in this area during the same period. In this respect, it should be noted that, during this period, purchases made from the Eiffage group represented less than 2% of ATB's total purchases. In any case, given its marginal position both as a candidate and as an awardee of contracts awarded by ATB, the Eiffage group does not have the capacity in the short or medium term to fulfill all of ATB's needs. Thus, regardless of the type of contracts, it can be concluded that ATB will not be able to favor the offers of the subsidiaries of the Eiffage group.  </w:t>
        <w:br/>
        <w:t>43. Considering all the elements mentioned above, following the operation, the Eiffage group will not have the capacity to restrict its competitors' access to the markets for works and maintenance of ATB's infrastructures.</w:t>
      </w:r>
    </w:p>
    <w:p>
      <w:r>
        <w:rPr>
          <w:b/>
        </w:rPr>
        <w:t>[Pages 10–10]</w:t>
      </w:r>
    </w:p>
    <w:p>
      <w:r>
        <w:t>44. Therefore, without it being necessary to examine the two other conditions mentioned in point 29 above, the operation is not likely to generate vertical effects that would reduce competitive intensity in the markets for construction and maintenance of airport infrastructures.</w:t>
      </w:r>
    </w:p>
    <w:p>
      <w:r>
        <w:t xml:space="preserve">DECIDES </w:t>
        <w:br/>
        <w:t xml:space="preserve">Single Article: The operation notified under number 19-234 is authorized. </w:t>
        <w:br/>
        <w:t xml:space="preserve">The Vice-President, </w:t>
        <w:br/>
        <w:t xml:space="preserve">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