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https://www.autoritedelaconcurrence.fr/fr/decision-de-controle-des-concentrations/relative-la-prise-de-controle-exclusif-de-la-societe-269</w:t>
      </w:r>
    </w:p>
    <w:p>
      <w:r>
        <w:t>Pages translated : 2</w:t>
      </w:r>
    </w:p>
    <w:p/>
    <w:p>
      <w:r>
        <w:rPr>
          <w:b/>
        </w:rPr>
        <w:t>[Pages 1–2]</w:t>
      </w:r>
    </w:p>
    <w:p>
      <w:r>
        <w:t xml:space="preserve">FRENCH REPUBLIC  </w:t>
        <w:br/>
        <w:t xml:space="preserve">Decision No. 19-DCC-262 of December 26, 2019  </w:t>
        <w:br/>
        <w:t xml:space="preserve">regarding the exclusive control acquisition of the company Arverne Automobiles by the Maurin group  </w:t>
        <w:br/>
        <w:t xml:space="preserve">The Competition Authority,  </w:t>
        <w:br/>
        <w:t xml:space="preserve">Having regard to the notification file submitted in full to the mergers department on December 9, 2019,  </w:t>
        <w:br/>
        <w:t xml:space="preserve">concerning the exclusive control acquisition of the company Arverne Automobiles by the Maurin group,  </w:t>
        <w:br/>
        <w:t xml:space="preserve">formalized by a memorandum of understanding dated November 15, 2019;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Maurin group of the company Arverne Automobiles, which operates car dealerships under the brands Toyota and Lexus in Aubière (63) and Charmeil (63).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19-317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