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https://www.autoritedelaconcurrence.fr/fr/decision-de-controle-des-concentrations/relative-la-prise-de-controle-exclusif-de-la-societe-270</w:t>
      </w:r>
    </w:p>
    <w:p>
      <w:r>
        <w:t>Pages translated : 13</w:t>
      </w:r>
    </w:p>
    <w:p/>
    <w:p>
      <w:r>
        <w:rPr>
          <w:b/>
        </w:rPr>
        <w:t>[Pages 1–3]</w:t>
      </w:r>
    </w:p>
    <w:p>
      <w:r>
        <w:t>FRENCH REPUBLIC</w:t>
        <w:br/>
        <w:t>Decision No. 19-DCC-268 of December 31, 2019</w:t>
        <w:br/>
        <w:t>regarding the exclusive control of the company AltéAd and the assets</w:t>
        <w:br/>
        <w:t>of 12 companies of the AltéAd group by the company Mediaco Levage</w:t>
        <w:br/>
        <w:t>The Competition Authority,</w:t>
        <w:br/>
        <w:t>Having regard to the notification file sent to the merger service on June 25, 2019, and declared complete on October 28, 2019, regarding the exclusive control of the company AltéAd and the assets of 12 companies of the AltéAd group by the company Mediaco Levage, formalized by the takeover offers dated June 21, 2019, and the judgments of the Paris Commercial Court dated July 25, 2019;</w:t>
        <w:br/>
        <w:t>Having regard to Book IV of the Commercial Code relating to the freedom of prices and competition, and in particular its Articles L. 430-1 to L. 430-7;</w:t>
        <w:br/>
        <w:t>Having regard to the other documents in the file;</w:t>
        <w:br/>
        <w:t>Adopts the following decision:</w:t>
      </w:r>
    </w:p>
    <w:p>
      <w:r>
        <w:t>Summary1</w:t>
        <w:br/>
        <w:t>On June 25, 2019, the company Mediaco Levage notified the Competition Authority of the acquisition of the company AltéAd and the assets of 13 companies of the AltéAd group. Both parties are primarily active in the lifting and handling sector. This transaction is part of a judicial reorganization procedure, opened by the Paris Commercial Court, for the benefit of the 38 companies of the AltéAd group. It was granted a derogation from the suspensive effect of merger control on July 11, 2019. On the occasion of this transaction, the Competition Authority defined new relevant markets: the lifting markets and the handling market. The Competition Authority analyzed the effects of the transaction on the structure of these markets, according to their defined delimitations, and conducted a thorough examination of the risks of significant reduction of competition at the national level, but also, regarding the lifting markets, at the regional level. For the purposes of this transaction, the Authority questioned the clients and competitors of the parties in the lifting and handling sector. At the end of its investigation, the Authority was able to rule out any risk of anti-competitive effects in the lifting services markets, as the new entity will still face, after the transaction, numerous competitors of similar size with competing agencies. Regarding the other markets affected by the transaction (handling, electrical and mechanical engineering services, logistics), the investigation also ruled out any risk of anti-competitive effects, due to the combined market shares of the new entity being below 25%, regardless of the segments considered.</w:t>
        <w:br/>
        <w:t>1 This summary is strictly informative. Only the reasons for the decision numbered below are authoritative.</w:t>
      </w:r>
    </w:p>
    <w:p>
      <w:r>
        <w:t>I. The companies concerned and the transaction</w:t>
        <w:br/>
        <w:t>1. Mediaco Levage SA is the company controlling the lifting branch of the French group Mediaco. The Mediaco group specializes in the lifting and handling of heavy loads, notably through a network of 70 agencies in France. It also offers industrial services and logistics.</w:t>
        <w:br/>
        <w:t>2. AltéAd SAS is the holding company of the AltéAd group controlling the four branches of the group: transport, lifting, industry (which notably conducts technical studies, industrial assembly, installations, and commissioning of equipment and machines), MTM &amp; Solutions (which offers logistics services).</w:t>
        <w:br/>
        <w:t>3. Financière AltéAd Levage Manutention SAS is the parent company of the lifting branch of the AltéAd group. It directly or indirectly controls 10 subsidiary companies2 that provide lifting and handling services to businesses.</w:t>
        <w:br/>
        <w:t>4. AltéAd Soutien Logistique SAS is a company in the MTM &amp; Solutions branch of the AltéAd group, which offers industrial services and logistics to businesses.</w:t>
        <w:br/>
        <w:t>5. The 13 companies mentioned in paragraphs 3 and 4 above are collectively referred to as the "targets."</w:t>
        <w:br/>
        <w:t>6. The transaction is part of a judicial reorganization procedure, opened by the Paris Commercial Court on May 27, 2019, for the benefit of the 38 companies of the AltéAd group. By letter dated July 11, 2019, the Competition Authority granted a derogation from the suspensive effect of merger control to the Mediaco group, pursuant to Article L. 430-4 of the Commercial Code. By judgments dated July 26, 2019, the Paris Commercial Court approved the transfer plan of the company AltéAd SAS and the assets of 12 companies of the AltéAd group, the targets, in favor of the Mediaco group.</w:t>
        <w:br/>
        <w:t>7. Insofar as it results in the exclusive control by the company Mediaco SA of the company AltéAd SAS and the assets of 12 companies of the AltéAd group, the targets, the transaction constitutes a concentration within the meaning of Article L. 430-1 of the Commercial Code.</w:t>
        <w:br/>
        <w:t>8. The companies concerned together generate a total worldwide turnover excluding taxes of more than 150 million euros (Mediaco group: [≥150] million euros for the fiscal year ending December 31, 2018; targets: [≤150] million euros for the fiscal year ending December 31, 2018). Each of these companies has generated a turnover in France exceeding 50 million euros (Mediaco group: [≥50] million euros for the fiscal year ending December 31, 2018; targets: [≥50] million euros for the fiscal year ending December 31, 2018).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concentrations.</w:t>
        <w:br/>
        <w:t>2 AltéAd France Levage SAS, AltéAd Levage Location SAS, AltéAd Bourgogne Rhône Alpes SAS, AltéAd Ouest Levage Manutention SARL, AltéAd Le Gai Matelot SAS, AltéAd Normandie Levage Manutention, AltéAd Levage Manutention SAS, AltéAd Provence SAS, AltéAd Fos SARL, AltéAd Delta du Rhône SARL, and AltéAd Lorelev SAS.</w:t>
      </w:r>
    </w:p>
    <w:p>
      <w:r>
        <w:rPr>
          <w:b/>
        </w:rPr>
        <w:t>[Pages 4–6]</w:t>
      </w:r>
    </w:p>
    <w:p>
      <w:r>
        <w:t>II. DELIMITATION OF RELEVANT MARKETS</w:t>
        <w:br/>
        <w:t>9. The parties are simultaneously active in the lifting sector (activity of raising heavy loads) and in the handling sector (activity of manipulating heavy loads and tools used for lifting). Furthermore, the Mediaco group is active in the logistics markets through the holding of storage and warehousing capacities (notably parking lots and warehouses) and in the markets for mechanical and electrical engineering services, particularly through the maintenance and installation of mechanical and electrical systems carried out for the industry.</w:t>
      </w:r>
    </w:p>
    <w:p>
      <w:r>
        <w:t>A. THE SECTOR OF LIFTING AND HANDLING SERVICES</w:t>
        <w:br/>
        <w:t>10. The notifying party indicates that Mediaco and the targets of the transaction are simultaneously active in the lifting and handling sector. Decision-making practice has not had the opportunity to rule on the delimitation of markets within this lifting sector.</w:t>
      </w:r>
    </w:p>
    <w:p>
      <w:r>
        <w:t>a) Operation of the lifting and handling services sector</w:t>
        <w:br/>
        <w:t>11. The parties simultaneously offer lifting and handling services on behalf of industrial clients carrying out construction projects (for example, in the aerospace, construction, or energy sectors) to move heavy loads (notably to assemble airplanes, elevate a building, or assemble a wind turbine).</w:t>
        <w:br/>
        <w:t>12. For their projects, clients select, after a call for tenders, companies offering lifting and handling services. Clients then call upon the selected companies to carry out identified lifting or handling services according to a specifications document. On this occasion, clients renegotiate the pricing grid retained by the client at the time of selection for each project.</w:t>
        <w:br/>
        <w:t>13. The main clients of lifting and handling service providers are companies in construction and infrastructure (Bouygues Construction, Vinci, Eiffage, etc.), industry (Air Liquide, Fayat, etc.), or energy (EDF, Orano, etc.).</w:t>
      </w:r>
    </w:p>
    <w:p>
      <w:r>
        <w:t>b) Delimitation of relevant service markets</w:t>
        <w:br/>
        <w:t>i. Distinction between lifting and handling activities</w:t>
        <w:br/>
        <w:t>14. The notifying party indicates that when it wins a project, two contracts are actually concluded: a rental contract for the equipment, in which the risk related to the contract falls on the client, and a handling contract, in which the risk falls on the service provider, under the rules set forth by the French Union of Lifting, a professional union for lifting and handling.</w:t>
        <w:br/>
        <w:t>15. Lifting consists of raising heavy loads using dedicated machines. Handling, on the other hand, involves site setup, assembly, and sliding (movement by gliding) of the equipment necessary to carry out the lifting activity. A competitor of the notifying party, questioned during a market test conducted as part of this investigation, specifies that the lifting activity is "vertical," referring to the activity performed by the machine (assembly of an airplane or a wind turbine, or elevation of a building). In comparison, the handling activity is "horizontal," referring to the activity that allows for the installation and implementation of the machine.</w:t>
        <w:br/>
        <w:t>16. The notifying party nevertheless proposes to consider a global market for lifting and handling, a service consisting of lifting, moving, or handling heavy loads. According to them, these two activities are complementary and indispensable to each other. Mediaco itself performs all handling services related to its lifting activities.</w:t>
        <w:br/>
        <w:t>17. However, the investigation conducted within the framework of the present operation shows that these two activities are indeed distinct. In fact, the main input of the lifting activity is the vehicle (crane, truck with arm, etc.), while the main input of handling is labor. Thus, the majority of competitors who responded to the market test noted the existence of significant barriers to entry in the lifting sector, particularly due to the capital investments required for this activity, while half of them estimated that there were no barriers to entry in the handling activity, as labor is quickly available and abundant.</w:t>
        <w:br/>
        <w:t>18. Furthermore, competitors and clients of the notifying party interviewed during the market tests conducted during the investigation indicate that these activities can be performed by different providers. Some competitors are, moreover, exclusively active in lifting and not in handling. Similarly, clients do not systematically resort to lifting or handling services at the same time, nor do they necessarily call upon the same providers if they use both services.</w:t>
        <w:br/>
        <w:t>19. The analysis will therefore focus on the markets for lifting services on the one hand and on the market for handling services on the other.</w:t>
      </w:r>
    </w:p>
    <w:p>
      <w:r>
        <w:t>ii. Distinction by type of vehicles for lifting operations</w:t>
        <w:br/>
        <w:t>20. According to the notifying party, several types of vehicles are used for lifting services:</w:t>
        <w:br/>
        <w:t>i. mobile self-propelled cranes,</w:t>
        <w:br/>
        <w:t>ii. mobile crawler cranes,</w:t>
        <w:br/>
        <w:t>iii. truck-mounted cranes,</w:t>
        <w:br/>
        <w:t>iv. forklifts,</w:t>
        <w:br/>
        <w:t>v. aerial work platforms,</w:t>
        <w:br/>
        <w:t>vi. winches,</w:t>
        <w:br/>
        <w:t>vii. helicopters.</w:t>
        <w:br/>
        <w:t>21. Competitors predominantly confirm the use of these vehicles in lifting services.</w:t>
        <w:br/>
        <w:t>22. The notifying party does not consider it necessary to distinguish between these different types of vehicles. While the majority of competitors interviewed during the market tests have vehicles that fall into several of these categories, the market test indicates that the majority of competitors and clients believe that the vehicles are not substitutable for one another, as their usage is very different. Indeed, even if some vehicles, such as a nine-axle crane, can be used to lift the same load as vehicles with lower capacity, such as a two-axle crane, the reverse is not possible.</w:t>
        <w:br/>
        <w:t>23. For the purposes of the investigation, a distinction will be made by type of vehicles, as identified in point 20.</w:t>
      </w:r>
    </w:p>
    <w:p>
      <w:r>
        <w:t>c) Geographical markets</w:t>
        <w:br/>
        <w:t>24. Mediaco has 70 agencies spread across the entire territory. 30 of them are parking lots for vehicles. The other 40 agencies also perform a commercial economic activity in addition to serving as parking lots, thus providing maintenance and handling services. Most of the competitors of the notifying party also have local agencies throughout the territory.</w:t>
      </w:r>
    </w:p>
    <w:p>
      <w:r>
        <w:t>i. Geographical delimitation of lifting markets</w:t>
        <w:br/>
        <w:t>25. The notifying party believes that the lifting and handling markets are of national dimension, as Mediaco and most of its competitors are national operators, offering their services throughout the territory. It asserts that the mobility of cranes allows providers to cover the entire territory.</w:t>
        <w:br/>
        <w:t>26. It argues that it is common to observe the presence of mobile cranes from French or foreign operators without a nearby agency on construction sites very far from these operators' installed bases.</w:t>
        <w:br/>
        <w:t>27. The presence of agencies serving as parking lots indicates that providers seek to minimize their transportation costs by maximizing their local presence. The notifying party also indicates that it assigns the management of the contract with a client to the agency closest to the site, which has the necessary vehicles to carry it out.</w:t>
        <w:br/>
        <w:t>28. Competitors also indicate that the proximity of an agency to the site is an advantage, given the high transportation costs to move vehicles. The majority of competitors believe that the geographical dimension of the lifting markets is regional. Furthermore, the clients interviewed confirm that the proximity of an agency to the site is a selection criterion and also believe that the geographical dimension of the lifting markets is regional. The General Director of the UFL, Mr. Rebollo, also confirms that the geographical dimension of the lifting markets is regional.</w:t>
        <w:br/>
        <w:t>29. Therefore, although the competitive pressure exerted by competition may be conceivable at the borders of the area, a local market dimension cannot be ruled out.</w:t>
        <w:br/>
        <w:t>30. The analysis of the lifting markets will therefore be conducted at both the national and regional levels3.</w:t>
      </w:r>
    </w:p>
    <w:p>
      <w:r>
        <w:t>ii. Geographical delimitation of the handling market</w:t>
        <w:br/>
        <w:t>31. As with lifting, the notifying party believes that the handling market is of national dimension. The main input of handling being labor, transportation costs are not as significant for moving inputs in the handling market as they are in the lifting markets.</w:t>
      </w:r>
    </w:p>
    <w:p>
      <w:r>
        <w:rPr>
          <w:b/>
        </w:rPr>
        <w:t>[Pages 7–9]</w:t>
      </w:r>
    </w:p>
    <w:p>
      <w:r>
        <w:t xml:space="preserve">32. The majority of competitors surveyed during the market tests also believe that the handling market is of national dimension.  </w:t>
        <w:br/>
        <w:t xml:space="preserve">33. The analysis of the handling market will therefore be conducted at the national level.  </w:t>
        <w:br/>
        <w:t xml:space="preserve">B. LOGISTICS MARKETS  </w:t>
        <w:br/>
        <w:t xml:space="preserve">a) Service Markets  </w:t>
        <w:br/>
        <w:t xml:space="preserve">34. The decision-making practice of competition authorities4 has defined logistics services as involving the various links in a supply chain of goods between an origin point and a destination point, in order to optimally manage the flow and storage of said goods. This activity can be likened to a comprehensive offer, as it combines a set of services such as, in particular, storage, inventory management, order taking, and the transportation of goods at a time and place defined by the client.  </w:t>
        <w:br/>
        <w:t xml:space="preserve">35. European and national competition authorities have considered the existence of distinct logistics markets for certain sectors of activity that, due to the characteristics of their production chains, may require specific logistics services5.  </w:t>
        <w:br/>
        <w:t xml:space="preserve">36. In this case, the Mediaco group offers logistics services to industrial clients, including the provision of storage spaces, parking areas, and warehouses for the implementation of the client's project.  </w:t>
        <w:br/>
        <w:t xml:space="preserve">37. However, the question of the exact delimitation of logistics markets can be left open, as the conclusions of the competitive analysis remain unchanged regardless of the delimitation adopted.  </w:t>
        <w:br/>
        <w:t xml:space="preserve">b) Geographical Markets  </w:t>
        <w:br/>
        <w:t xml:space="preserve">38. According to national decision-making practice6, the markets for logistics services are of national dimension.  </w:t>
        <w:br/>
        <w:t xml:space="preserve">39. There is no need to revisit this delimitation during the present investigation.  </w:t>
        <w:br/>
        <w:t xml:space="preserve">4 See in particular the decisions of the Authority No. 18-DCC-127 of July 30, 2018, regarding the exclusive control of Alpha Direct Services by Log’Hopp, and No. 13-DCC-87 of July 11, 2013, regarding the exclusive control of the European Company for Logistics Services by ID Logistics Group SA.  </w:t>
        <w:br/>
        <w:t xml:space="preserve">5 See for example the decision of the Authority No. 11-DCC-79 of May 16, 2011, regarding the joint control of Transcosatal Finances by the companies Satar, Chabas, and STEF-TFE Transport, as well as the decision M.3553 of the European Commission of October 4, 2004.  </w:t>
        <w:br/>
        <w:t xml:space="preserve">6 See for example the aforementioned decision No. 13-DCC-87.  </w:t>
        <w:br/>
        <w:t xml:space="preserve">C. ENGINEERING SERVICES MARKETS  </w:t>
        <w:br/>
        <w:t xml:space="preserve">a) Service Markets  </w:t>
        <w:br/>
        <w:t xml:space="preserve">40. Regarding engineering services, national and European decision-making practice7 has identified a segmentation between the market for electrical engineering services and the markets for mechanical and climate engineering services.  </w:t>
        <w:br/>
        <w:t xml:space="preserve">41. Within electrical engineering, decision-making practice8 has considered the existence of three distinct segments related to (i) telecommunications, (ii) electrical substations, and (iii) high voltage lines.  </w:t>
        <w:br/>
        <w:t xml:space="preserve">42. Competition authorities have also considered that the electrical engineering market could be segmented based on the type of work, distinguishing between maintenance work and installation work9. Installation work includes the following service provisions: design, initial installation of equipment, maintenance, repair, and modernization of infrastructure. Maintenance corresponds to the organization of periodic inspection visits.  </w:t>
        <w:br/>
        <w:t xml:space="preserve">43. Furthermore, decision-making practice has recognized the existence of segmentation based on the type of clientele, distinguishing between residential and non-residential clients. Within the segment of electrical engineering for non-residential clients, it has considered a sub-segmentation between (i) infrastructure, (ii) industry, and (iii) tertiary10.  </w:t>
        <w:br/>
        <w:t xml:space="preserve">44. Finally, competition authorities have considered a segmentation of the markets for the installation and maintenance of telecommunications networks by distinguishing between work related to the installation and maintenance of radio electronic communication equipment, on the one hand, and work related to the installation and maintenance of electronic communication equipment, on the other hand11.  </w:t>
        <w:br/>
        <w:t xml:space="preserve">45. In this case, only Mediaco offers electrical and mechanical engineering services to industrial clients.  </w:t>
        <w:br/>
        <w:t xml:space="preserve">46. In any event, the question of the exact delimitation of these markets can be left open, as, regardless of the segmentation adopted, the conclusions of the competitive analysis remain unchanged.  </w:t>
        <w:br/>
        <w:t xml:space="preserve">b) Geographical Markets  </w:t>
        <w:br/>
        <w:t xml:space="preserve">47. European decision-making practice considers that the markets for electrical engineering are likely of national dimension, due to the conditions of competition in these similar markets across the entire French territory12. However, it has also conducted a competitive analysis of these markets at the regional level and left the question of their exact geographical delimitation open. Similarly, national decision-making practice13 has considered that these markets could have a national or regional dimension.  </w:t>
        <w:br/>
        <w:t xml:space="preserve">48. In any event, the question of the exact geographical delimitation of these markets can be left open, as, regardless of the delimitation adopted, the conclusions of the competitive analysis remain unchanged.  </w:t>
        <w:br/>
        <w:t xml:space="preserve">III. Competitive Analysis  </w:t>
        <w:br/>
        <w:t xml:space="preserve">49. The competitive analysis will focus on (A) the horizontal effects and then on (B) the conglomerate effects of the transaction.  </w:t>
        <w:br/>
        <w:t xml:space="preserve">A. ANALYSIS OF HORIZONTAL EFFECTS  </w:t>
        <w:br/>
        <w:t xml:space="preserve">a) On the lifting markets  </w:t>
        <w:br/>
        <w:t xml:space="preserve">i. Methodology for calculating market shares  </w:t>
        <w:br/>
        <w:t xml:space="preserve">50. The analysis will be based on market shares in terms of the number of vehicles owned by the companies. Indeed, revenue alone is not sufficient to represent the competitive position of companies, as it may only reflect the frequency of referencing or contracting of an operator in a given year, without reflecting the actual capacity of an operator to exert competitive pressure in the market. Moreover, given the central role played by lifting service agencies, their number and location are indicators that can also be used in the competitive analysis. Indeed, owning an agency with a vehicle parking lot, regardless of the type of vehicle considered, is a considerable asset for a lifting service provider compared to its competitors. Thus, the competitive analysis will be supplemented, where applicable, by the number of agencies owned by operators in the region considered.  </w:t>
        <w:br/>
        <w:t xml:space="preserve">51. The notifying party has estimated its market shares in terms of the number of vehicles across all markets.  </w:t>
        <w:br/>
        <w:t xml:space="preserve">52. For mobile cranes, the notifying party relied on a file from the vehicle registration system (hereinafter "the SIV file") dating from 2018, which lists the number of mobile cranes registered in France as of that date.  </w:t>
        <w:br/>
        <w:t>53. The investigation has established that this file overestimated the number of cranes actually active in the lifting market. Based on, in particular, the responses from competitors and manufacturers (Liebherr, Manitowoc, and Tadano, representing, according to the notifying party, 90% of the vehicles present and active in France), it cannot be ruled out that the size of the fleet of</w:t>
      </w:r>
    </w:p>
    <w:p>
      <w:r>
        <w:rPr>
          <w:b/>
        </w:rPr>
        <w:t>[Pages 10–12]</w:t>
      </w:r>
    </w:p>
    <w:p>
      <w:r>
        <w:t>mobile cranes could be 2,500 vehicles, and not 5,140. The notifying party has therefore provided a new estimate of market shares taking into account, for mobile cranes, a national fleet of 2,500 vehicles. At the regional level, the distribution of vehicles presented by the SIV file has been applied to the newly defined size of the national fleet.</w:t>
      </w:r>
    </w:p>
    <w:p>
      <w:r>
        <w:t>ii. Analysis of the market shares of the parties</w:t>
        <w:br/>
        <w:t>♦ At the national level</w:t>
        <w:br/>
        <w:t>Number of vehicles Market shares</w:t>
        <w:br/>
        <w:t>National TOTAL Mediaco New</w:t>
        <w:br/>
        <w:t>market entity</w:t>
        <w:br/>
        <w:t>Mobile cranes [confidential] [confidential] [20-30]% [5-10]%</w:t>
        <w:br/>
        <w:t xml:space="preserve">2,500 [20-30]% </w:t>
        <w:br/>
        <w:t>Crawler cranes [confidential] [confidential] [0-5]% [0-5]%</w:t>
        <w:br/>
        <w:t>[confidential] [confidential] [confidential] [0-5]%</w:t>
        <w:br/>
        <w:t>Boom trucks [10-20]% [confidential] [confidential] [0-5]%</w:t>
        <w:br/>
        <w:t>[confidential] [confidential] [confidential] [0-5]%</w:t>
        <w:br/>
        <w:t xml:space="preserve">Forklifts [0-5]% [0-5]% </w:t>
        <w:br/>
        <w:t>[confidential] [confidential] [confidential] [0-5]%</w:t>
        <w:br/>
        <w:t xml:space="preserve">Aerial work platforms [0-5]% [0-5]% </w:t>
        <w:br/>
        <w:t>[confidential] [confidential] [confidential] [0-5]%</w:t>
      </w:r>
    </w:p>
    <w:p>
      <w:r>
        <w:t>54. At the national level, the new entity will hold market shares below 25% in the markets for crawler cranes, boom trucks, forklifts, and aerial work platforms. When the market shares of the new entity are below 25% following the transaction, the Authority generally presumes that the transaction does not harm competition14.</w:t>
      </w:r>
    </w:p>
    <w:p>
      <w:r>
        <w:t>55. Following the transaction, the new entity will hold [20-30]% market share in the market for mobile cranes. However, it will still face numerous competitors such as Foselev ([10-20]%), Dufour ([0-5]%), Lafont and Autaa ([0-5]% each), SE Levage ([0-5]%).</w:t>
      </w:r>
    </w:p>
    <w:p>
      <w:r>
        <w:t>56. Furthermore, respondents to the market test conducted during the investigation mostly believe that the transaction is not likely to raise a competition issue.</w:t>
      </w:r>
    </w:p>
    <w:p>
      <w:r>
        <w:t>57. The transaction is therefore not likely to harm competition through horizontal effects in the lifting markets at the national level.</w:t>
      </w:r>
    </w:p>
    <w:p>
      <w:r>
        <w:t>♦ At the regional level</w:t>
        <w:br/>
        <w:t>58. At the regional level, the activities of the parties overlap in the following ten regions (in terms of the former administrative regions): Île-de-France, Haute-Normandie, Bourgogne, Lorraine, Pays-de-la-Loire, Bretagne, Poitou-Charentes, Rhône-Alpes, Languedoc-Roussillon, and Provence-Alpes-Côte d’Azur (hereinafter "PACA").</w:t>
      </w:r>
    </w:p>
    <w:p>
      <w:r>
        <w:t>59. The new entity will have market shares, regardless of the market considered, below 25% in the regions of Île-de-France, Bretagne, and Languedoc-Roussillon.</w:t>
      </w:r>
    </w:p>
    <w:p>
      <w:r>
        <w:t>60. In the remaining seven regions, the new entity will have market shares below 25% in the markets for crawler cranes, boom trucks, forklifts, and aerial work platforms. The transaction is therefore not likely to have anti-competitive horizontal effects in these markets in the regions of Haute-Normandie, Bourgogne, Lorraine, Pays de la Loire, Poitou-Charentes, Rhône-Alpes, and PACA.</w:t>
      </w:r>
    </w:p>
    <w:p>
      <w:r>
        <w:t>61. On the other hand, in the seven regions mentioned above, the new entity will have market shares exceeding 25% in the markets for mobile cranes, as presented in the table below:</w:t>
      </w:r>
    </w:p>
    <w:p>
      <w:r>
        <w:t>Region Mediaco Targets New entity</w:t>
        <w:br/>
        <w:t>Lorraine [10-20]% [30-40]% [50-60]%</w:t>
        <w:br/>
        <w:t>PACA [30-40]% [10-20]% [40-50]%</w:t>
        <w:br/>
        <w:t>Pays de la Loire [10-20]% [20-30]% [40-50]%</w:t>
        <w:br/>
        <w:t>Poitou-Charentes [20-30]% [10-20]% [40-50]%</w:t>
        <w:br/>
        <w:t>Rhône-Alpes [30-40]% [0-5]% [30-40]%</w:t>
        <w:br/>
        <w:t>Haute-Normandie [10-20]% [10-20]% [30-40]%</w:t>
        <w:br/>
        <w:t>Bourgogne [5-10]% [20-30]% [30-40]%</w:t>
      </w:r>
    </w:p>
    <w:p>
      <w:r>
        <w:t>62. In the regions of Rhône-Alpes, Haute-Normandie, and Bourgogne, the market shares of the new entity will remain moderate, and it will continue to face competitive pressure from other players in the lifting sector, such as Foselev, SE Levage, Lafont, Dufour, and Autaa.</w:t>
      </w:r>
    </w:p>
    <w:p>
      <w:r>
        <w:t>63. Conversely, in the regions of Lorraine, PACA, Pays de la Loire, and Poitou-Charentes, the market shares of the new entity will exceed 40%. In these regions, a further investigation was conducted taking into account the number of competing agencies present in the region and their geographical distribution.</w:t>
      </w:r>
    </w:p>
    <w:p>
      <w:r>
        <w:t>64. In the PACA region, the new entity will have a market share of [40-50]%. However, it will face competitive pressure from major operators in the mobile crane market, particularly Foselev (approximately [30-40]% market share) and Lafont (approximately [10-20]%), both of which are national operators. In addition to these operators, there are several smaller operators, such as Chieusse Levage. Furthermore, in the PACA region, the new entity will hold 5 agencies, all previously owned by Mediaco before the transaction15, representing [10-20]% of the agencies present in the region according to the notifying party. The new entity will face significant and well-established competitors such as Foselev, which holds 8 agencies, or HR Levage, which holds 6 agencies. As a result, the transaction is not likely to have anti-competitive effects in the PACA region, regardless of the market considered.</w:t>
      </w:r>
    </w:p>
    <w:p>
      <w:r>
        <w:t>65. In the Poitou-Charentes region, the new entity will have a market share of [40-50]%. However, it will face at least two national operators, Foselev (approximately [10-20]% market share) and Autaa (approximately [20-30]%). Furthermore, in the Poitou-Charentes region, the new entity will hold 2 agencies, previously owned by Mediaco before the transaction16, representing 11% of the agencies present in the region according to the notifying party. The new entity will face significant and well-established competitors such as Foselev, which holds 2 agencies, Autaa, which holds 1 agency, and other local operators, such as Bezombes or Acoleva, which hold agencies. It follows from the above that the transaction is not likely to have anti-competitive effects in the Poitou-Charentes region, regardless of the market considered.</w:t>
      </w:r>
    </w:p>
    <w:p>
      <w:r>
        <w:t>66. In the Pays de la Loire region, the new entity will have a market share of [40-50]%. However, it will face national operators such as Foselev (approximately [20-30]% market share), Autaa, or MCM. Furthermore, in the Pays de la Loire region, the new entity will hold 6 agencies, representing [20-30]% of the agencies present in the region according to the notifying party. Following the transaction, it will face competition from national operators (Foselev, holding 3 agencies, Dufour, holding 1 agency) and local operators (L2M or Merdrignac, together holding at least 6 agencies). It follows from the above that the transaction is not likely to have anti-competitive effects in the Pays de la Loire region, regardless of the market considered.</w:t>
      </w:r>
    </w:p>
    <w:p>
      <w:r>
        <w:t>67. In the Lorraine region, the new entity will have a market share of [40-50]%. However, it will face national operators such as Foselev (approximately [10-20]% market share) or Ponticelli. Furthermore, in the Lorraine region, the new entity will hold 4 agencies, one of which was acquired through the transaction, representing [20-30]% of the agencies present in the region according to the notifying party. Following the transaction, its competitors will still exert competitive pressure through the agencies they hold (Foselev and Ponticelli, the national operators, each holding 2 agencies, and at least 7 local operators each holding one agency). It follows from the above that the transaction is not likely to have anti-competitive effects in the Lorraine region, regardless of the market considered.</w:t>
      </w:r>
    </w:p>
    <w:p>
      <w:r>
        <w:t>b) On the handling market</w:t>
        <w:br/>
        <w:t>68. In the handling market, the market share of the new entity will be [0-5]%, with an additional market share of [0-5]%. It follows from the above that the transaction will not be likely to have anti-competitive effects in the handling market.</w:t>
      </w:r>
    </w:p>
    <w:p>
      <w:r>
        <w:t>B. ANALYSIS OF CONGLOMERATE EFFECTS</w:t>
        <w:br/>
        <w:t>69. The Authority considers that a concentration leads to "conglomerate effects when the new entity extends or strengthens its presence in several markets whose connectivity may allow it to exploit a leverage effect"17. This leverage effect is likely to produce restrictive competition effects when the new entity is able to technically or commercially tie the sales or purchases of the products grouped by the concentration, thereby locking the market and driving out its competitors.</w:t>
      </w:r>
    </w:p>
    <w:p>
      <w:r>
        <w:t>70. This leverage effect, necessary for the implementation of such strategies, is analyzed through the examination of three cumulative criteria: (i) the ability of the new entity, which holds significant market power in a given market, to drive out competitors in another market by tying the sales of products normally marketed separately in the different concerned markets (bundled sales or tied sales); (ii) the economic incentive of the new entity to implement such exclusionary practices, which requires the existence of a large number of customers likely to be interested in the simultaneous purchase of the products in question; and (iii) the existence of a significant negative effect of the locking strategy on the</w:t>
      </w:r>
    </w:p>
    <w:p>
      <w:r>
        <w:rPr>
          <w:b/>
        </w:rPr>
        <w:t>[Pages 13–13]</w:t>
      </w:r>
    </w:p>
    <w:p>
      <w:r>
        <w:t xml:space="preserve">a) relevant markets, which implies that it would be impossible for competitors to offer such a complete range of products.  </w:t>
        <w:br/>
        <w:t xml:space="preserve">71. In this case, the transaction has the effect of expanding Mediaco's capabilities in the lifting and handling markets by increasing the number of vehicles available in its fleet. Following the transaction, the new entity could require its clients to simultaneously purchase its lifting, handling, logistics, and engineering services.  </w:t>
        <w:br/>
        <w:t xml:space="preserve">72. Following the transaction, the new entity will hold market shares of less than 30%, regardless of the markets and segmentation considered. Indeed, in the lifting markets, the new entity will hold at most [20-30]% of market share at the national level. In the handling market, it will hold a market share of less than [0-5]%. In the logistics markets, where only the Mediaco group is present, the market share will remain below 5%, regardless of the segmentation considered. Finally, in the engineering services markets, where only the Mediaco group is active, the market share of the new entity will remain below 10% regardless of the segmentation chosen. Furthermore, the new entity will continue to face numerous competitors in each market in which it will be active.  </w:t>
        <w:br/>
        <w:t xml:space="preserve">73. It follows from the above that the transaction is not likely to harm competition through conglomerate effects.  </w:t>
        <w:br/>
        <w:t xml:space="preserve">DECIDES  </w:t>
        <w:br/>
        <w:t xml:space="preserve">Sole Article: The transaction notified under number 19-161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