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https://www.autoritedelaconcurrence.fr/fr/decision-de-controle-des-concentrations/relative-la-prise-de-controle-exclusif-de-la-societe-272</w:t>
      </w:r>
    </w:p>
    <w:p>
      <w:r>
        <w:t>Pages translated : 2</w:t>
      </w:r>
    </w:p>
    <w:p/>
    <w:p>
      <w:r>
        <w:rPr>
          <w:b/>
        </w:rPr>
        <w:t>[Pages 1–2]</w:t>
      </w:r>
    </w:p>
    <w:p>
      <w:r>
        <w:t xml:space="preserve">FRENCH REPUBLIC  </w:t>
        <w:br/>
        <w:t xml:space="preserve">Decision No. 20-DCC-13 of January 30, 2020  </w:t>
        <w:br/>
        <w:t xml:space="preserve">regarding the exclusive control acquisition of the company Réponse SAS by the  </w:t>
        <w:br/>
        <w:t xml:space="preserve">company Cushman &amp; Wakefield  </w:t>
        <w:br/>
        <w:t xml:space="preserve">The Competition Authority,  </w:t>
        <w:br/>
        <w:t xml:space="preserve">Having regard to the complete notification file sent to the mergers department on January 13, 2020,  </w:t>
        <w:br/>
        <w:t xml:space="preserve">concerning the exclusive control acquisition of the company Réponse SAS by the company Cushman &amp;  </w:t>
        <w:br/>
        <w:t xml:space="preserve">Wakefield, materialized by a share acquisition agreement dated December 6,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Cushman &amp;  </w:t>
        <w:br/>
        <w:t xml:space="preserve">Wakefield of the company Réponse SAS, which is active in the field of interior space design.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19-330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