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https://www.autoritedelaconcurrence.fr/fr/decision-de-controle-des-concentrations/relative-la-prise-de-controle-exclusif-de-la-societe-274</w:t>
      </w:r>
    </w:p>
    <w:p>
      <w:r>
        <w:t>Pages translated : 2</w:t>
      </w:r>
    </w:p>
    <w:p/>
    <w:p>
      <w:r>
        <w:rPr>
          <w:b/>
        </w:rPr>
        <w:t>[Pages 1–2]</w:t>
      </w:r>
    </w:p>
    <w:p>
      <w:r>
        <w:t xml:space="preserve">FRENCH REPUBLIC  </w:t>
        <w:br/>
        <w:t xml:space="preserve">Decision No. 20-DCC-22 of February 18, 2020  </w:t>
        <w:br/>
        <w:t xml:space="preserve">regarding the exclusive control acquisition of the company Nemours Distribution by the company ITM Alimentaire Région Parisienne  </w:t>
        <w:br/>
        <w:t xml:space="preserve">The Competition Authority,  </w:t>
        <w:br/>
        <w:t xml:space="preserve">Having regard to the notification file sent to the mergers department on January 20, 2020, declared complete on February 7, 2020, concerning the exclusive control acquisition by the company ITM Alimentaire Région Parisienne of the company Nemours Distribution, and formalized by a transfer agreement dated December 27,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ITM Alimentaire Région Parisienne of the company Nemours Distribution, which operates a predominantly food business under the Intermarché brand with a surface area of 4,577 m² located in Nemours (77).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20-011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