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https://www.autoritedelaconcurrence.fr/fr/decision-de-controle-des-concentrations/relative-la-prise-de-controle-exclusif-de-la-societe-278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20-DCC-46 of March 18, 2020  </w:t>
        <w:br/>
        <w:t xml:space="preserve">regarding the exclusive control acquisition of Groupe Capel by  </w:t>
        <w:br/>
        <w:t xml:space="preserve">the company NDK  </w:t>
        <w:br/>
        <w:t xml:space="preserve">The Competition Authority,  </w:t>
        <w:br/>
        <w:t xml:space="preserve">Having regard to the complete notification file sent to the mergers department on March 2, 2020,  </w:t>
        <w:br/>
        <w:t xml:space="preserve">concerning the acquisition of control of Groupe Capel by the company NDK, formalized by a  </w:t>
        <w:br/>
        <w:t xml:space="preserve">memorandum of understanding dated December 4,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exclusive control acquisition by the company NDK of the company  </w:t>
        <w:br/>
        <w:t xml:space="preserve">Groupe Capel, which engages in automotive dealership activities under the brands  </w:t>
        <w:br/>
        <w:t xml:space="preserve">Distinxion, Honda, Mazda, Seat, Skoda, Volvo, Lexus, Maserati, and Subaru in the Gard (30) and  </w:t>
        <w:br/>
        <w:t xml:space="preserve">Hérault (34). It constitutes a concentration operation within the meaning of Article L. 430-1 of the  </w:t>
        <w:br/>
        <w:t xml:space="preserve">Commercial Code. Given the turnover achieved by the companies concerned, the operation does not fall  </w:t>
        <w:br/>
        <w:t xml:space="preserve">under the jurisdiction of the European Union. On the other hand, the retail control thresholds mentioned in  </w:t>
        <w:br/>
        <w:t xml:space="preserve">point II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20-010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