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https://www.autoritedelaconcurrence.fr/fr/decision-de-controle-des-concentrations/relative-la-prise-de-controle-exclusif-de-la-societe-279</w:t>
      </w:r>
    </w:p>
    <w:p>
      <w:r>
        <w:t>Pages translated : 2</w:t>
      </w:r>
    </w:p>
    <w:p/>
    <w:p>
      <w:r>
        <w:rPr>
          <w:b/>
        </w:rPr>
        <w:t>[Pages 1–2]</w:t>
      </w:r>
    </w:p>
    <w:p>
      <w:r>
        <w:t xml:space="preserve">FRENCH REPUBLIC  </w:t>
        <w:br/>
        <w:t xml:space="preserve">Decision No. 20-DCC-51 of March 30, 2020  </w:t>
        <w:br/>
        <w:t xml:space="preserve">regarding the exclusive control acquisition of the company Financière Valance  </w:t>
        <w:br/>
        <w:t>by the Alcopa group</w:t>
      </w:r>
    </w:p>
    <w:p>
      <w:r>
        <w:t>The Competition Authority,</w:t>
      </w:r>
    </w:p>
    <w:p>
      <w:r>
        <w:t xml:space="preserve">Having regard to the complete notification file submitted to the mergers department on March 13, 2020,  </w:t>
        <w:br/>
        <w:t xml:space="preserve">concerning the exclusive control acquisition of the company Financière Valance by the company Alcopa Coordination Center NV, formalized by a transfer letter dated December 6, 2019;  </w:t>
        <w:br/>
        <w:t xml:space="preserve">Having regard to Book IV of the Commercial Code relating to the freedom of prices and competition, and in particular its Articles L. 430-1 to L. 430-7;  </w:t>
        <w:br/>
        <w:t>Having regard to the elements submitted during the investigation;</w:t>
      </w:r>
    </w:p>
    <w:p>
      <w:r>
        <w:t>Adopts the following decision:</w:t>
      </w:r>
    </w:p>
    <w:p>
      <w:r>
        <w:t xml:space="preserve">1. The notified operation consists of the exclusive control acquisition of the company Financière Valance and its subsidiaries, active in the automobile and heavy truck cleaning sector, by the Alcopa group, primarily active in automobile distribution and the distribution of spare parts, through the company Alcopa Coordination Center NV. The operation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20-039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