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w:t>
      </w:r>
    </w:p>
    <w:p>
      <w:r>
        <w:t>Pages translated : 6</w:t>
      </w:r>
    </w:p>
    <w:p/>
    <w:p>
      <w:r>
        <w:rPr>
          <w:b/>
        </w:rPr>
        <w:t>[Pages 1–3]</w:t>
      </w:r>
    </w:p>
    <w:p>
      <w:r>
        <w:t xml:space="preserve">FRENCH REPUBLIC  </w:t>
        <w:br/>
        <w:t xml:space="preserve">Decision No. 11-DCC-110 of July 26, 2011  </w:t>
        <w:br/>
        <w:t>regarding the exclusive control of Outremer Telecom by AXA Investment Managers Private Equity Europe SA</w:t>
      </w:r>
    </w:p>
    <w:p>
      <w:r>
        <w:t xml:space="preserve">The Competition Authority,  </w:t>
        <w:br/>
        <w:t xml:space="preserve">Having regard to the notification file submitted in full to the merger service on June 29, 2011, regarding the acquisition of Outremer Telecom by AXA Investment Managers Private Equity Europe SA;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AXA Investment Managers Private Equity Europe SA (hereinafter "AXA IMPEE") is a public limited company, wholly owned by AXA Investment Managers Private Equity SA, which is itself controlled by AXA1, the parent company of the AXA group. AXA IMPEE is a company approved by the Financial Markets Authority whose activity is private equity management. The AXA group is primarily active in the insurance and asset management sectors.  </w:t>
        <w:br/>
        <w:t xml:space="preserve">2. Through its funds, the AXA group is active in various sectors, mainly those of recycling, gas distribution, renewable energies, and highways.  </w:t>
        <w:br/>
        <w:t xml:space="preserve">3. Outremer Telecom is a public limited company whose main shareholders are currently the FCPR Apax France VI fund (30.23%) and Mr. Jean-Michel Hégésippe (18.67%), Sofrapar (4.22%), and Altamir &amp; Cie (3.36%). It is primarily active in the overseas departments in the sectors of fixed and mobile telephony, high-speed internet access, integrated offers of internet, television, and fixed telephony services, and in the leasing of its telephony infrastructure network.  </w:t>
        <w:br/>
        <w:t xml:space="preserve">4. By share transfer agreement dated June 24, 2011, AXA IMPEE, via AXA LBO Fund IV, acquires the capital and voting rights of Outremer Telecom held by FCPR Apax France VI, Mr. Jean-Michel Hégésippe, and Altamir &amp; Cie. Following the transaction, the capital and voting rights of Outremer Telecom will be distributed as follows: 52.26% for AXA IMPEE, 4.22% for Sofrapar, 1.83% for Groupe Bernard Hayot, the remainder being held by private investors, none of whom exercises decisive influence. None of the other shareholders having specific veto rights, the transaction constitutes an exclusive control of Outremer Telecom by AXA IMPEE.  </w:t>
        <w:br/>
        <w:t>5. Insofar as it results in the exclusive control of Outremer Telecom by AXA IMPEE, the notified operation constitutes a concentration within the meaning of Article L. 430-1 of the Commercial Code. The concerned companies together achieve a worldwide turnover excluding tax of more than 150 million euros (AXA Group: 91 billion euros for the fiscal year ending December 31, 2010; Outremer Telecom: 188.1 million euros for the fiscal year ending December 31, 2010). Each of the concerned companies achieves a turnover in France exceeding 50 million euros (AXA Group: […] billion euros for the fiscal year ending December 31, 2010; Outremer Telecom: […] million euros for the fiscal year ending December 31, 2010). Given the turnover of the concerned companies,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6. Outremer Telecom is active in the telecommunications markets (fixed telephony, mobile telephony, and internet access). This operator also presents itself as a potential player in the wholesale activities of digital terrestrial television broadcasting.</w:t>
      </w:r>
    </w:p>
    <w:p>
      <w:r>
        <w:t xml:space="preserve">A. THE MARKETS FOR PRODUCTS AND SERVICES  </w:t>
        <w:br/>
        <w:t xml:space="preserve">1. TELECOMMUNICATIONS  </w:t>
        <w:br/>
        <w:t xml:space="preserve">a) Fixed Telephony  </w:t>
        <w:br/>
        <w:t xml:space="preserve">7. In accordance with the practice of national competition authorities, the mobile telephony sector can be segmented according to whether the clientele is residential or professional and according to the destination of calls (to fixed lines, to mobiles, local/national/international calls).  </w:t>
        <w:br/>
        <w:t>2 Notably decision No. 09-D-24 of July 28, 2009, regarding practices implemented by France Telecom in the various markets for fixed communication services in the DOM; decision No. 11-D-05 of February 23, 2011, regarding practices implemented in the electronic communications sector in the Réunion – Mayotte area; decision No. 10-DCC-182 of December 13, 2010, regarding the acquisition of Altitude Telecom by the Altice B2B group.</w:t>
      </w:r>
    </w:p>
    <w:p>
      <w:r>
        <w:t xml:space="preserve">8. However, in the absence of any competition issue, the precise delineation of the retail market for fixed telephony may be left open in this case.  </w:t>
        <w:br/>
        <w:t xml:space="preserve">b) Mobile Telephony  </w:t>
        <w:br/>
        <w:t xml:space="preserve">9. In accordance with the practice of national competition authorities, the mobile telephony sector can be segmented into three distinct markets: upstream, the wholesale market for call termination on mobile networks; at the intermediate stage, the retail market for mobile telephony; downstream, the market for the distribution of mobile telephony products and services.  </w:t>
        <w:br/>
        <w:t xml:space="preserve">10. Regarding the wholesale market for access and call origination on mobile telephone networks, decision-making practice considers that this market is defined as the meeting place of the supply from host mobile network operators, who hold an operating license and an "ad hoc" mobile network (the "MNOs") and the demand constituted by virtual operators (the "MVNOs"), who procure communication time.  </w:t>
        <w:br/>
        <w:t xml:space="preserve">11. Regarding the retail market for mobile telephony, community and national decision-making practice has consistently considered that this market is defined as the meeting place between, on the one hand, a supply constituted by MNOs and MVNOs competing for the provision of mobile telephony services and, on the other hand, a demand constituted by end consumers, whether individuals or professionals. In its decision No. 11-DCC-07, the Competition Authority observed that new offers have recently developed, having in common the ability to provide internet access on the move, notably to the web as well as to messaging services (email), and considered a segmentation of the retail mobile telephony market, each segment being potentially sub-segmented according to customer categories (general public and businesses).  </w:t>
        <w:br/>
        <w:t xml:space="preserve">12. Regarding the market for the distribution of mobile telephony products and services, decision-making practice has defined a global market that encompasses the sale of communication time, mobile telephony devices, and other services to end consumers.  </w:t>
        <w:br/>
        <w:t xml:space="preserve">13. There is no need to challenge the various delineations considered by decision-making practice during the examination of the present operation.  </w:t>
        <w:br/>
        <w:t xml:space="preserve">c) Internet Access  </w:t>
        <w:br/>
        <w:t xml:space="preserve">14. In the internet access sector, decision-making practice distinguishes, in addition to wholesale markets, the markets for the provision of internet access from the markets for the retail distribution of internet access services.  </w:t>
        <w:br/>
        <w:t xml:space="preserve">3 See notably the decisions of the Competition Authority No. 09-DCC-35 of August 6, 2009, No. 09-DCC-65 of November 30, 2009, and No. 11-DCC-07 of January 28, 2011.  </w:t>
        <w:br/>
        <w:t xml:space="preserve">4 Decision of the Competition Authority No. 09-DCC-65 of November 30, 2009, regarding the exclusive control of Tele2 Mobile by Omer Telecom Limited.  </w:t>
        <w:br/>
        <w:t xml:space="preserve">5 See notably the decisions of the European Commission No. COMP/M.3916 T-Mobile Austria/Tele.ring of April 26, 2006, and No. COMP/M.5650 T-Mobile/Orange of March 1, 2010.  </w:t>
        <w:br/>
        <w:t xml:space="preserve">6 See notably the letter from the minister No. C2007-150 of November 23, 2007, as well as the decisions of the Competition Authority No. 09-DCC-65 and No. 11-DCC-07 mentioned above.  </w:t>
        <w:br/>
        <w:t>7 See notably the decision of the Authority No. 09-DCC-35 of August 6, 2009, as well as the aforementioned decision No. 11-DCC-07.</w:t>
      </w:r>
    </w:p>
    <w:p>
      <w:r>
        <w:rPr>
          <w:b/>
        </w:rPr>
        <w:t>[Pages 4–6]</w:t>
      </w:r>
    </w:p>
    <w:p>
      <w:r>
        <w:t>15. Regarding the markets for the provision of Internet access, the decision-making practice of competition authorities8 has distinguished between the market for the provision of low-speed Internet access (via the switched telephone network) and the market for the provision of high-speed and very high-speed Internet access (via cable, ADSL, and fiber technologies). Furthermore, similar to the markets for the provision of retail fixed telephony services, the markets for the provision of Internet access can also be segmented according to the type of customer (residential customers / professional customers).</w:t>
      </w:r>
    </w:p>
    <w:p>
      <w:r>
        <w:t>16. The market for the provision of high-speed Internet access includes all high-speed services, namely, in addition to Internet access, voice over IP services, television, and fixed telephony. These services are generally offered as part of a "triple-play" package. As these offers evolve towards so-called "quadruple-play" packages that include an additional mobile telephony offer, the question of a finer segmentation of this market is being considered.</w:t>
      </w:r>
    </w:p>
    <w:p>
      <w:r>
        <w:t>17. Regarding the retail market for Internet access aimed at residential customers, national competition authorities9 consider that the typology of distribution channels for multi-service high-speed offers is similar to that of the distribution channels for mobile telephony products and services, as presented above. However, the distribution of sales of multi-service high-speed subscriptions across these different distribution channels differs from that of mobile telephony services. Indeed, a significant share of subscription sales is made remotely, with some offers being almost exclusively available online or by phone (such as those from Free).</w:t>
      </w:r>
    </w:p>
    <w:p>
      <w:r>
        <w:t>18. There is no reason to challenge the various delineations considered by the decision-making practice during the examination of the present operation.</w:t>
      </w:r>
    </w:p>
    <w:p>
      <w:r>
        <w:t>2. TELEVISION BROADCASTING</w:t>
      </w:r>
    </w:p>
    <w:p>
      <w:r>
        <w:t>19. In its opinion No. 09-A-09 of April 17, 2009, regarding a request for an opinion from ARCEP concerning the analysis of the relevant wholesale markets for audiovisual broadcasting services, reiterated by decision 10-D-09 of March 9, 2010, the Competition Authority recalled that the value chain of the audiovisual sector comprises four activities: production, publishing, marketing or distribution of content, and finally, the transmission of the signal from the place of production to the terminals of listeners or viewers.</w:t>
      </w:r>
    </w:p>
    <w:p>
      <w:r>
        <w:t>20. The sector subject to this decision concerns the last link in this chain and is defined as the place where the supply and demand for signal transmission from the broadcasting site to the receivers of end consumers meet. Two markets can be distinguished. Downstream are the services that broadcasters offer to publishers or, in the context of digital terrestrial television (hereinafter DTT), to multiplex operators (also referred to as "multiplexes" or MUX). Upstream, there is also a so-called "access" market, comprising the services offered by a host to a broadcaster.</w:t>
      </w:r>
    </w:p>
    <w:p>
      <w:r>
        <w:t>8 See in particular the decisions of the Competition Authority No. 10-DCC-182 of December 13, 2010, and No. 09-DCC-35 mentioned above.</w:t>
      </w:r>
    </w:p>
    <w:p>
      <w:r>
        <w:t>9 See in particular the aforementioned decision No. 09-DCC-35.</w:t>
      </w:r>
    </w:p>
    <w:p>
      <w:r>
        <w:t>B. GEOGRAPHICAL MARKETS</w:t>
      </w:r>
    </w:p>
    <w:p>
      <w:r>
        <w:t>21. Except for the retail distribution of Internet access, which is of national dimension10, national decision-making practice11 has indicated that metropolitan France should be distinguished from the overseas departments and the territorial collectivities of Mayotte and Saint Pierre and Miquelon, as the latter have specific characteristics (geographical remoteness and isolation of the islands; meteorological, environmental, and sociological characteristics; specific penetration and start-up of mobile activity; regulatory framework regarding the granting of GSM frequency licenses, etc.).</w:t>
      </w:r>
    </w:p>
    <w:p>
      <w:r>
        <w:t>22. There is no reason to challenge the various delineations considered by the decision-making practice during the examination of the present operation.</w:t>
      </w:r>
    </w:p>
    <w:p>
      <w:r>
        <w:t>III. Competitive Analysis</w:t>
      </w:r>
    </w:p>
    <w:p>
      <w:r>
        <w:t>23. The AXA group does not hold any controlling interest in companies active in the markets where Outremer Telecom operates, nor in markets that have vertical links or connections with them.</w:t>
      </w:r>
    </w:p>
    <w:p>
      <w:r>
        <w:t>24. Indeed, while AXA IMPEE holds 6.6% of the capital of the mobile telephony operator Budget Telecom, which is active in certain overseas departments and territories, this minority stake does not give it decisive influence over this company.</w:t>
      </w:r>
    </w:p>
    <w:p>
      <w:r>
        <w:t>25. Similarly, while AXA IMPEE indirectly holds 18% of the capital of the TDF group, which is present in the television broadcasting and telecommunications sectors, this minority stake does not give it decisive influence over TDF.</w:t>
      </w:r>
    </w:p>
    <w:p>
      <w:r>
        <w:t>26. Indeed, the shareholding of TDF is structured as follows: Texas Pacific Group (42%), Caisse des Dépôts et Consignations (24%), AXA IMPEE12 (18%), Charterhouse Capital Partners (14%), various (2%). AXA IMPEE is therefore the third-largest shareholder of TDF, far behind Texas Pacific Group. This minority stake does not confer any control to AXA IMPEE in the sense of competition law, as AXA IMPEE is not able to oppose within TDF to the […], nor to the […], or the […] nor to decisions regarding […].</w:t>
      </w:r>
    </w:p>
    <w:p>
      <w:r>
        <w:t>27. Regarding the governing bodies of TDF, as AXA IMPEE does not propose […] on the […] members of the board of directors, it does not have the ability to block decisions that are made by simple majority. Furthermore, the topics discussed within the board of directors of TDF are primarily related to […] of TDF and the […], and not to […] of TDF in Outremer, which represents only a very marginal share of its total sales (approximately [0-5]% for the 5 departments combined). Indeed, the minutes of the last three board meetings of TDF show that the topics discussed mainly focused on […]. Other issues addressed relate to […].</w:t>
      </w:r>
    </w:p>
    <w:p>
      <w:r>
        <w:t>10 See in particular the letter from the Minister of Economy dated November 23, 2007.</w:t>
      </w:r>
    </w:p>
    <w:p>
      <w:r>
        <w:t>11 See for example the letter from the Minister No. C2007-150 mentioned above, the decisions of the Authority No. 09-DCC-35 and No. 09-DCC-65 mentioned above.</w:t>
      </w:r>
    </w:p>
    <w:p>
      <w:r>
        <w:t>12 More precisely, AXA IMPEE is a shareholder […].</w:t>
      </w:r>
    </w:p>
    <w:p>
      <w:r>
        <w:t>28. Furthermore, while AXA IMPEE benefits from the communication of certain information related to TDF, it is solely financial information, concerning quarterly and annual accounts as well as contemplated acquisition operations, allowing AXA IMPEE only to monitor TDF's financial performance.</w:t>
      </w:r>
    </w:p>
    <w:p>
      <w:r>
        <w:t>29. In any case, Outremer Telecom is currently not present in the wholesale markets for DTT broadcasting services: it did not win the tender launched by France Télévisions for which it proposed to rely on its own network of radio broadcasting towers and it does not host any broadcaster on this network.</w:t>
      </w:r>
    </w:p>
    <w:p>
      <w:r>
        <w:t>30. Given these elements, the operation is not likely to facilitate the coordination of strategies between Outremer Telecom and TDF in the downstream wholesale markets for DTT broadcasting services where these two companies compete.</w:t>
      </w:r>
    </w:p>
    <w:p>
      <w:r>
        <w:t>DECIDES</w:t>
      </w:r>
    </w:p>
    <w:p>
      <w:r>
        <w:t>Sole Article: The operation notified under number 11-0123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