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https://www.autoritedelaconcurrence.fr/fr/decision-de-controle-des-concentrations/relative-la-prise-de-controle-exclusif-de-la-societe-281</w:t>
      </w:r>
    </w:p>
    <w:p>
      <w:r>
        <w:t>Pages translated : 2</w:t>
      </w:r>
    </w:p>
    <w:p/>
    <w:p>
      <w:r>
        <w:rPr>
          <w:b/>
        </w:rPr>
        <w:t>[Pages 1–2]</w:t>
      </w:r>
    </w:p>
    <w:p>
      <w:r>
        <w:t xml:space="preserve">FRENCH REPUBLIC  </w:t>
        <w:br/>
        <w:t xml:space="preserve">Decision No. 20-DCC-55 of April 9, 2020  </w:t>
        <w:br/>
        <w:t xml:space="preserve">regarding the exclusive control acquisition of the company Philippe Emond France SAS by the company GCA Investissements  </w:t>
        <w:br/>
        <w:t xml:space="preserve">The Competition Authority,  </w:t>
        <w:br/>
        <w:t xml:space="preserve">Having regard to the complete notification file submitted to the mergers department on March 25, 2020, concerning the acquisition of control of the company Philippe Emond France SAS by the company GCA Investissements, formalized by a letter of intent dated February 10, 2020;  </w:t>
        <w:br/>
        <w:t xml:space="preserve">Having regard to Book IV of the Commercial Code relating to the freedom of prices and competition, and in particular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the company GCA Investissements of the company Philippe Emond France SAS, which operates five car dealerships under the BMW and Mini brands in Saint-Quentin (02), Soissons (02), Charleville-Mézières (08), Reims (51), and Saint-Memmie (51).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20-055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