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https://www.autoritedelaconcurrence.fr/fr/decision-de-controle-des-concentrations/relative-la-prise-de-controle-exclusif-de-la-societe-282</w:t>
      </w:r>
    </w:p>
    <w:p>
      <w:r>
        <w:t>Pages translated : 2</w:t>
      </w:r>
    </w:p>
    <w:p/>
    <w:p>
      <w:r>
        <w:rPr>
          <w:b/>
        </w:rPr>
        <w:t>[Pages 1–2]</w:t>
      </w:r>
    </w:p>
    <w:p>
      <w:r>
        <w:t xml:space="preserve">FRENCH REPUBLIC  </w:t>
        <w:br/>
        <w:t xml:space="preserve">Decision No. 20-DCC-57 of April 17, 2020  </w:t>
        <w:br/>
        <w:t xml:space="preserve">regarding the exclusive control acquisition of Groupe Magris by Vulcain  </w:t>
        <w:br/>
        <w:t xml:space="preserve">The Competition Authority,  </w:t>
        <w:br/>
        <w:t xml:space="preserve">Having regard to the notification file sent to the mergers department on March 13, 2020, declared complete on April 1, 2020, concerning the exclusive control acquisition of Groupe Magris by Vulcain, formalized by a memorandum of understanding dated March 6, 2020;  </w:t>
        <w:br/>
        <w:t xml:space="preserve">Having regard to Book IV of the Commercial Code relating to the freedom of prices and competition, and in particular its Articles L. 430-1 to L. 430-7;  </w:t>
        <w:br/>
        <w:t xml:space="preserve">Having regard to the elements provided during the investigation by the notifying party;  </w:t>
        <w:br/>
        <w:t xml:space="preserve">Adopts the following decision:  </w:t>
        <w:br/>
        <w:t xml:space="preserve">1. The notified operation consists of the exclusive control acquisition by Vulcain, active in the automotive distribution sector in the Auvergne-Rhône-Alpes and Île-de-France regions, of Groupe Magris, which operates automotive dealerships under the Ford and Seat brands in Givors (69) and Vienne (38). It constitutes a concentration operation within the meaning of Article L. 430-1 of the Commercial Code. Given the revenues generated by the companies involved,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20-058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