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https://www.autoritedelaconcurrence.fr/fr/decision-de-controle-des-concentrations/relative-la-prise-de-controle-exclusif-de-la-societe-284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20-DCC-65 of May 6, 2020  </w:t>
        <w:br/>
        <w:t xml:space="preserve">regarding the exclusive control acquisition of the company Patrick Launay by  </w:t>
        <w:br/>
        <w:t xml:space="preserve">the company Clim  </w:t>
        <w:br/>
        <w:t xml:space="preserve">The Competition Authority,  </w:t>
        <w:br/>
        <w:t xml:space="preserve">Having regard to the complete notification file submitted to the mergers department on April 17, 2020,  </w:t>
        <w:br/>
        <w:t xml:space="preserve">concerning the exclusive control acquisition of the company Patrick Launay by the company Clim, formalized  </w:t>
        <w:br/>
        <w:t xml:space="preserve">by a transfer agreement under suspensive conditions dated March 11,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Clim, active in  </w:t>
        <w:br/>
        <w:t xml:space="preserve">the automotive distribution sector in the departments of Landes (40),  </w:t>
        <w:br/>
        <w:t xml:space="preserve">Pyrénées-Atlantiques (64) and Hautes-Pyrénées (65), of the company Patrick Launay which  </w:t>
        <w:br/>
        <w:t xml:space="preserve">operates car dealerships under the brands Mercedes-Benz and Smart in the  </w:t>
        <w:br/>
        <w:t xml:space="preserve">departments of Charente (16), Charente-Maritime (17), Corrèze (19),  </w:t>
        <w:br/>
        <w:t xml:space="preserve">Dordogne (24) and Haute-Vienne (87). It constitutes a concentration operation within  </w:t>
        <w:br/>
        <w:t xml:space="preserve">the meaning of Article L. 430-1 of the Commercial Code. Given the turnover achieved  </w:t>
        <w:br/>
        <w:t xml:space="preserve">by the concerned companies, the operation does not fall under the jurisdiction of the  </w:t>
        <w:br/>
        <w:t xml:space="preserve">European Union. On the other hand, the retail control thresholds mentioned  </w:t>
        <w:br/>
        <w:t xml:space="preserve">in point II of Article L. 430-2 of the Commercial Code are exceeded. This operation  </w:t>
        <w:br/>
        <w:t xml:space="preserve">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20-057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