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https://www.autoritedelaconcurrence.fr/fr/decision-de-controle-des-concentrations/relative-la-prise-de-controle-exclusif-de-la-societe-285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19-DCC-126 of July 4, 2019</w:t>
        <w:br/>
        <w:t>regarding the exclusive control acquisition of the company Haudecoeur by the</w:t>
        <w:br/>
        <w:t>investment fund Ergon Capital Partners IV</w:t>
        <w:br/>
        <w:t>The Competition Authority,</w:t>
        <w:br/>
        <w:t>Having regard to the complete notification file submitted to the mergers department on June 14, 2019,</w:t>
        <w:br/>
        <w:t>concerning the exclusive control acquisition of the company Haudecoeur by the investment fund</w:t>
        <w:br/>
        <w:t>Ergon Capital Partners IV, and materialized by a unilateral promise to purchase shares dated May 28, 2019;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investment fund</w:t>
        <w:br/>
        <w:t>Ergon Capital Partners IV of the company Haudecoeur, which specializes in the importation,</w:t>
        <w:br/>
        <w:t>transformation, and distribution in France of ethnic food products. It constitutes</w:t>
        <w:br/>
        <w:t>a concentration operation within the meaning of Article L. 430-1 of the Commercial Code. Given</w:t>
        <w:br/>
        <w:t>the turnover achieved by the concerned companies, the operation does not fall under the</w:t>
        <w:br/>
        <w:t>competence of the European Union. On the other hand, the control thresholds mentioned in point I</w:t>
        <w:br/>
        <w:t>of 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view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19-133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