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https://www.autoritedelaconcurrence.fr/fr/decision-de-controle-des-concentrations/relative-la-prise-de-controle-exclusif-de-la-societe-286</w:t>
      </w:r>
    </w:p>
    <w:p>
      <w:r>
        <w:t>Pages translated : 2</w:t>
      </w:r>
    </w:p>
    <w:p/>
    <w:p>
      <w:r>
        <w:rPr>
          <w:b/>
        </w:rPr>
        <w:t>[Pages 1–2]</w:t>
      </w:r>
    </w:p>
    <w:p>
      <w:r>
        <w:t>FRENCH REPUBLIC</w:t>
        <w:br/>
        <w:t>Decision No. 19-DCC-77 of April 25, 2019</w:t>
        <w:br/>
        <w:t>regarding the exclusive control acquisition of the company Espaces Verts by the</w:t>
        <w:br/>
        <w:t>company InVivo Retail</w:t>
        <w:br/>
        <w:t>The Competition Authority,</w:t>
        <w:br/>
        <w:t>Having regard to the complete notification file submitted to the mergers department on March 22, 2019,</w:t>
        <w:br/>
        <w:t>concerning the exclusive control acquisition of the company Espaces Verts by the company InVivo Retail,</w:t>
        <w:br/>
        <w:t>formalized by a share transfer agreement dated December 20, 2018;</w:t>
        <w:br/>
        <w:t>Having regard to Book IV of the Commercial Code relating to the freedom of prices and competition, and</w:t>
        <w:br/>
        <w:t>notably its Articles L. 430-1 to L. 430-7;</w:t>
        <w:br/>
        <w:t>Adopts the following decision:</w:t>
        <w:br/>
        <w:t>1. The notified operation consists of the exclusive control acquisition of the company Espaces Verts by the</w:t>
        <w:br/>
        <w:t>company InVivo Retail. It constitutes a concentration within the meaning of Article L. 430-1 of the Commercial Code. Given the turnover achieved by the concerned companies,</w:t>
        <w:br/>
        <w:t>the operation does not fall under the jurisdiction of the European Union. On the other hand, the control thresholds mentioned in II relating to retail trade in Article L. 430-2 of the Commercial Code are exceeded. The present operation is therefore subject to the provisions of Articles L. 430-3 and following of the Commercial Code relating to economic concentration.</w:t>
        <w:br/>
        <w:t>2. The markets concerned by the operation are those of the supply of products for garden centers, the production and marketing of gardening and pet products, and the retail distribution of gardening, DIY, outdoor arrangements, and pet products, which are consistently defined by the decision-making practice of the Competition Authority.</w:t>
        <w:br/>
        <w:t>3. Regardless of the segmentations retained, the cumulative market shares of the parties are</w:t>
        <w:br/>
        <w:t>below 25%.</w:t>
        <w:br/>
        <w:t>4. Considering the elements of the file and in particular point 384 of the guidelines of the Competition Authority relating to the control of concentrations, the operation is not likely to harm competition.</w:t>
      </w:r>
    </w:p>
    <w:p>
      <w:r>
        <w:t>DECIDES</w:t>
        <w:br/>
        <w:t>Sole Article: The operation notified under number 19-043 is authorized.</w:t>
        <w:b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