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https://www.autoritedelaconcurrence.fr/fr/decision-de-controle-des-concentrations/relative-la-prise-de-controle-exclusif-de-la-societe-291</w:t>
      </w:r>
    </w:p>
    <w:p>
      <w:r>
        <w:t>Pages translated : 2</w:t>
      </w:r>
    </w:p>
    <w:p/>
    <w:p>
      <w:r>
        <w:rPr>
          <w:b/>
        </w:rPr>
        <w:t>[Pages 1–2]</w:t>
      </w:r>
    </w:p>
    <w:p>
      <w:r>
        <w:t xml:space="preserve">FRENCH REPUBLIC  </w:t>
        <w:br/>
        <w:t xml:space="preserve">Decision No. 19-DCC-64 of April 12, 2019  </w:t>
        <w:br/>
        <w:t xml:space="preserve">regarding the exclusive control acquisition of the company Insignis by the  </w:t>
        <w:br/>
        <w:t xml:space="preserve">company Cinven Capital Management (VI) General Partner Limited  </w:t>
        <w:br/>
        <w:t xml:space="preserve">The Competition Authority,  </w:t>
        <w:br/>
        <w:t xml:space="preserve">Having regard to the complete notification file submitted to the mergers department on March 14, 2019,  </w:t>
        <w:br/>
        <w:t xml:space="preserve">concerning the exclusive control acquisition of the company Insignis and its subsidiaries by the company Xagon Bidco, an acquisition vehicle indirectly owned by funds managed and controlled by the company Cinven Capital Management (VI) General Partner Limited, and formalized by a transfer agreement dated March 22, 2019;  </w:t>
        <w:br/>
        <w:t xml:space="preserve">Having regard to Book IV of the Commercial Code relating to the freedom of prices and competition, and in particular its Articles L. 430-1 to L. 430-7;  </w:t>
        <w:br/>
        <w:t xml:space="preserve">Having regard to the supplementary elements submitted by the notifying party during the investigation;  </w:t>
        <w:br/>
        <w:t xml:space="preserve">Adopts the following decision:  </w:t>
        <w:br/>
        <w:t xml:space="preserve">1. The notified operation consists of the exclusive control acquisition by the company Xagon Bidco, an acquisition vehicle indirectly owned by funds managed and controlled by Cinven Capital Management (VI) General Partner Limited, of the company Insignis and its subsidiaries, which are active in the private higher education sector. It constitutes a concentration operation within the meaning of Article L. 430-1 of the Commercial Code. Given the revenues generated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19-084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