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https://www.autoritedelaconcurrence.fr/fr/decision-de-controle-des-concentrations/relative-la-prise-de-controle-exclusif-de-la-societe-294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19-DCC-189 of October 10, 2019  </w:t>
        <w:br/>
        <w:t xml:space="preserve">regarding the exclusive control acquisition of the company Alexanie by the  </w:t>
        <w:br/>
        <w:t xml:space="preserve">company ITM Alimentaire Sud-Est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September 19, 2019, concerning the exclusive control acquisition of the company Alexanie by the company  </w:t>
        <w:br/>
        <w:t xml:space="preserve">ITM Alimentaire Sud-Est and formalized by a letter of intent dated July 16,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ITM Alimentaire  </w:t>
        <w:br/>
        <w:t xml:space="preserve">Sud-Est of the company Alexanie, which operates a food-dominant retail outlet of  </w:t>
        <w:br/>
        <w:t xml:space="preserve">supermarket type under the Intermarché brand, with a surface area of 2,497 m², located in Sigean (11).  </w:t>
        <w:br/>
        <w:t xml:space="preserve">It constitutes a concentration operation within the meaning of Article L. 430-1 of the Commercial Code. Given the turnover achieved by the concerned companies,  </w:t>
        <w:br/>
        <w:t xml:space="preserve">the operation does not fall under the jurisdiction of the European Union. On the other hand, the thresholds for  </w:t>
        <w:br/>
        <w:t xml:space="preserve">control related to retail trade mentioned in point II of Article L. 430-2 of the Commercial Code are exceeded. The present operation is therefore subject to the provisions of Articles  </w:t>
        <w:br/>
        <w:t xml:space="preserve">L. 430-3 and following of the Commercial Code relating to 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19-239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