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https://www.autoritedelaconcurrence.fr/fr/decision-de-controle-des-concentrations/relative-la-prise-de-controle-exclusif-de-la-societe-295</w:t>
      </w:r>
    </w:p>
    <w:p>
      <w:r>
        <w:t>Pages translated : 59</w:t>
      </w:r>
    </w:p>
    <w:p/>
    <w:p>
      <w:r>
        <w:rPr>
          <w:b/>
        </w:rPr>
        <w:t>[Pages 1–3]</w:t>
      </w:r>
    </w:p>
    <w:p>
      <w:r>
        <w:t xml:space="preserve">FRENCH REPUBLIC  </w:t>
        <w:br/>
        <w:t xml:space="preserve">Decision No. 20-DCC-72 of May 26, 2020  </w:t>
        <w:br/>
        <w:t xml:space="preserve">regarding the exclusive control of the company Vindémia Group  </w:t>
        <w:br/>
        <w:t>by the company Groupe Bernard Hayot</w:t>
      </w:r>
    </w:p>
    <w:p>
      <w:r>
        <w:t xml:space="preserve">The Competition Authority,  </w:t>
        <w:br/>
        <w:t xml:space="preserve">Having regard to the notification file submitted to the merger service on January 24, 2020, regarding the exclusive control by the company Groupe Bernard Hayot of the company Vindémia Group, declared complete on March 13, 2020, formalized by a unilateral purchase promise dated July 21, 2019;  </w:t>
        <w:br/>
        <w:t xml:space="preserve">Having regard to Book IV of the Commercial Code relating to price and competition freedom, and in particular its Articles L. 430-1 to L. 430-7;  </w:t>
        <w:br/>
        <w:t xml:space="preserve">Having regard to the elements submitted by the notifying party during the investigation;  </w:t>
        <w:br/>
        <w:t xml:space="preserve">Having regard to the commitments submitted on April 22, 2020, and last modified on May 19, 2020, by the notifying party;  </w:t>
        <w:br/>
        <w:t xml:space="preserve">Having regard to the other documents in the file;  </w:t>
        <w:br/>
        <w:t>Adopts the following decision:</w:t>
      </w:r>
    </w:p>
    <w:p>
      <w:r>
        <w:t xml:space="preserve">Summary1  </w:t>
        <w:br/>
        <w:t xml:space="preserve">On January 24, 2020, the company Groupe Bernard Hayot (hereinafter "GBH") notified the Competition Authority of the project for the exclusive control of the company Vindémia Group, a subsidiary of the Casino group in the Indian Ocean. In Réunion, both groups are primarily present in the retail distribution market, predominantly food and non-food. Furthermore, the parties are also present in the upstream supply markets and in the fast food market. Vindémia is also present in the wholesale distribution market for food products. Finally, GBH is present in the dairy product production market.  </w:t>
        <w:br/>
        <w:t xml:space="preserve">The parties to the transaction are simultaneously active in the food-dominant distribution sector in Réunion, and the Authority identified, at the end of its competitive analysis, two main risks of harm to competition in the retail distribution and supply markets for food and non-food products.  </w:t>
        <w:br/>
        <w:t xml:space="preserve">Regarding the retail distribution market for food products, the Competition Authority considered that there were significant risks of harm to competition in ten* catchment areas. In these areas, consumers risked being deprived of a satisfactory competitive alternative following the transaction. The Authority reached the same conclusion for the retail distribution market for books in the areas of Sainte-Marie, Saint-Benoît, and Saint-André.  </w:t>
        <w:br/>
        <w:t xml:space="preserve">Regarding the supply market, the Authority found that the transaction was likely to strengthen the economic dependence of certain local suppliers of the parties to the transaction.  </w:t>
        <w:br/>
        <w:t xml:space="preserve">To address the competitive risks identified by the Authority, GBH submitted a series of commitments that respond to these competition concerns.  </w:t>
        <w:br/>
        <w:t xml:space="preserve">Firstly, the proposed commitments require the acquirer to divest four hypermarkets, two supermarkets, as well as one store under the Agora brand. These divestitures address the issues identified in each of the areas where the transaction was likely to harm competition. GBH also proposed two buyers for these divestitures: Make Distribution, which takes over the four hypermarkets and the Agora store, and the Tak group, which takes over the two supermarkets. The Authority examined, in this decision, whether these buyers had the capacity to take over the divested stores and to sustain competition effectively in the retail distribution market. During the investigation, they appeared as credible players capable of ensuring effective competition. The Authority therefore considered that these buyers could be approved to take over the divested stores. By pre-identifying the buyers of the assets concerned by the remedy, the commitment allows for an early resolution of the competitive difficulties (or "fix-it-first"), which reduces uncertainty and the time frame for implementing the commitment, by eliminating the search and approval period for buyers. Consumers will therefore more quickly benefit from the diversity of choice offered by the arrival of a new player.  </w:t>
        <w:br/>
        <w:t>1 This summary is strictly informative. Only the reasons for the decision numbered below are authoritative.</w:t>
      </w:r>
    </w:p>
    <w:p>
      <w:r>
        <w:t xml:space="preserve">Next, GBH undertook a series of so-called behavioral commitments aimed at preserving upstream suppliers from risks of deterioration of their competitive situation due to the transaction. GBH thus committed (a) to maintain the current level of supplies from its GSA to local production, (b) to establish an internal mechanism to identify contracting parties in a possible state of economic dependence and, on the one hand, to assist them in exiting this state of dependence if they wish, and finally (c) to include in contracts with its suppliers a specific provision aimed at preventing risks of negative effects for identified contracting parties who may be in a state of economic dependence on GBH and who expressly request it in writing, allowing them in particular to enter into a contract for a duration of two years instead of an annual contract. These commitments to protect suppliers are unprecedented in the decision-making practice of the Authority.  </w:t>
        <w:br/>
        <w:t xml:space="preserve">Given all the commitments presented, the Authority authorized the transaction.  </w:t>
        <w:br/>
        <w:t>3</w:t>
      </w:r>
    </w:p>
    <w:p>
      <w:r>
        <w:rPr>
          <w:b/>
        </w:rPr>
        <w:t>[Pages 4–6]</w:t>
      </w:r>
    </w:p>
    <w:p>
      <w:r>
        <w:t xml:space="preserve">SUMMARY  </w:t>
        <w:br/>
        <w:t xml:space="preserve">I. The companies involved and the operation ...................................................................... 7  </w:t>
        <w:br/>
        <w:t xml:space="preserve">II. Definition of the relevant markets .................................................................................. 8  </w:t>
        <w:br/>
        <w:t xml:space="preserve">A. THE MARKETS FOR THE PRODUCTION AND MARKETING OF DAIRY PRODUCTS ........................................................................................................................................ 9  </w:t>
        <w:br/>
        <w:t xml:space="preserve">1. The product markets ......................................................................................................... 9  </w:t>
        <w:br/>
        <w:t xml:space="preserve">a) Yogurts .......................................................................................................................... 10  </w:t>
        <w:br/>
        <w:t xml:space="preserve">b) Fresh dairy desserts ...................................................................................................... 10  </w:t>
        <w:br/>
        <w:t xml:space="preserve">2. The geographical markets ............................................................................................... 10  </w:t>
        <w:br/>
        <w:t xml:space="preserve">B. THE UPSTREAM SUPPLY MARKETS .................................................................................. 11  </w:t>
        <w:br/>
        <w:t xml:space="preserve">1. The upstream supply markets for food-dominant products ........................................... 11  </w:t>
        <w:br/>
        <w:t xml:space="preserve">a) The product markets ..................................................................................................... 11  </w:t>
        <w:br/>
        <w:t xml:space="preserve">b) The geographical markets ............................................................................................. 12  </w:t>
        <w:br/>
        <w:t xml:space="preserve">2. The upstream supply markets for non-food products ..................................................... 13  </w:t>
        <w:br/>
        <w:t xml:space="preserve">a) The product markets ..................................................................................................... 13  </w:t>
        <w:br/>
        <w:t xml:space="preserve">(1) Household appliances .............................................................................................. 13  </w:t>
        <w:br/>
        <w:t xml:space="preserve">(2) Books .......................................................................................................................... 14  </w:t>
        <w:br/>
        <w:t xml:space="preserve">(3) Gardening and DIY products .................................................................................... 14  </w:t>
        <w:br/>
        <w:t xml:space="preserve">b) The geographical markets ............................................................................................. 15  </w:t>
        <w:br/>
        <w:t xml:space="preserve">(1) Household appliances .............................................................................................. 15  </w:t>
        <w:br/>
        <w:t xml:space="preserve">(2) Books .......................................................................................................................... 16  </w:t>
        <w:br/>
        <w:t xml:space="preserve">(3) Gardening and DIY products .................................................................................... 16  </w:t>
        <w:br/>
        <w:t xml:space="preserve">C. THE DOWNSTREAM DISTRIBUTION MARKETS ................................................................ 17  </w:t>
        <w:br/>
        <w:t xml:space="preserve">1. The wholesale distribution markets for food and non-food products ......................... 17  </w:t>
        <w:br/>
        <w:t xml:space="preserve">a) The product markets ..................................................................................................... 17  </w:t>
        <w:br/>
        <w:t xml:space="preserve">b) The geographical markets ............................................................................................. 17  </w:t>
        <w:br/>
        <w:t xml:space="preserve">2. The downstream retail distribution markets for food-dominant products ................... 18  </w:t>
        <w:br/>
        <w:t xml:space="preserve">a) The product markets ..................................................................................................... 18  </w:t>
        <w:br/>
        <w:t xml:space="preserve">b) The geographical markets ............................................................................................. 19  </w:t>
        <w:br/>
        <w:t xml:space="preserve">3. The downstream retail distribution markets for non-food products ............................. 20  </w:t>
        <w:br/>
        <w:t xml:space="preserve">a) Household appliances .................................................................................................... 20  </w:t>
        <w:br/>
        <w:t xml:space="preserve">(1) The product markets ................................................................................................. 20  </w:t>
        <w:br/>
        <w:t xml:space="preserve">(a) Distinction based on product family ................................................................. 20  </w:t>
        <w:br/>
        <w:t xml:space="preserve">(b) Distinction by distribution channel ................................................................... 21  </w:t>
        <w:br/>
        <w:t xml:space="preserve">(c) Assessment on a case-by-case basis ................................................................. 22  </w:t>
        <w:br/>
        <w:t xml:space="preserve">(2) The geographical markets ....................................................................................... 22  </w:t>
        <w:br/>
        <w:t xml:space="preserve">b) Books ............................................................................................................................ 23  </w:t>
        <w:br/>
        <w:t xml:space="preserve">(1) The product markets ................................................................................................. 23  </w:t>
        <w:br/>
        <w:t xml:space="preserve">(2) The geographical markets ....................................................................................... 24  </w:t>
        <w:br/>
        <w:t xml:space="preserve">c) Gardening and DIY products ....................................................................................... 24  </w:t>
        <w:br/>
        <w:t xml:space="preserve">(1) The product markets ................................................................................................. 24  </w:t>
        <w:br/>
        <w:t xml:space="preserve">(2) The geographical markets ....................................................................................... 25  </w:t>
        <w:br/>
        <w:t xml:space="preserve">D. THE DOWNSTREAM MARKETS FOR COLLECTIVE CATERING ....................................... 26  </w:t>
        <w:br/>
        <w:t xml:space="preserve">1. The service markets ......................................................................................................... 26  </w:t>
        <w:br/>
        <w:t xml:space="preserve">2. The geographical markets ............................................................................................... 27  </w:t>
        <w:br/>
        <w:t xml:space="preserve">III. Competitive analysis ....................................................................................................... 28  </w:t>
        <w:br/>
        <w:t xml:space="preserve">A. Analysis of horizontal effects .................................................................................................................. 28  </w:t>
        <w:br/>
        <w:t xml:space="preserve">1. The upstream supply markets for food-dominant products ........................................... 28  </w:t>
        <w:br/>
        <w:t xml:space="preserve">a) At the national level ....................................................................................................... 28  </w:t>
        <w:br/>
        <w:t xml:space="preserve">b) At the local level ............................................................................................................ 29  </w:t>
        <w:br/>
        <w:t xml:space="preserve">2. The upstream supply markets for non-food products ...................................................... 31  </w:t>
        <w:br/>
        <w:t xml:space="preserve">a) The upstream supply markets for household appliances .............................................. 31  </w:t>
        <w:br/>
        <w:t xml:space="preserve">b) The upstream supply markets for DIY articles ............................................................... 31  </w:t>
        <w:br/>
        <w:t xml:space="preserve">c) The upstream markets for the sale of books by publishers to retailers ....................... 31  </w:t>
        <w:br/>
        <w:t xml:space="preserve">3. The downstream wholesale distribution markets for food and non-food products ........ 31  </w:t>
        <w:br/>
        <w:t xml:space="preserve">a) At the national level ....................................................................................................... 32  </w:t>
        <w:br/>
        <w:t xml:space="preserve">b) At the regional level ....................................................................................................... 32  </w:t>
        <w:br/>
        <w:t xml:space="preserve">4. The downstream retail distribution markets for food-dominant products ..................... 32  </w:t>
        <w:br/>
        <w:t xml:space="preserve">a) Methodology ................................................................................................................... 33  </w:t>
        <w:br/>
        <w:t xml:space="preserve">b) Analysis of catchment areas centered on stores located in Saint-Pierre ..................... 33  </w:t>
        <w:br/>
        <w:t xml:space="preserve">(1) Jumbo Score store located at 1, rue de la Poudrière in Saint-Pierre ................... 33  </w:t>
        <w:br/>
        <w:t xml:space="preserve">(2) Score store located at 5, rue de Cardamone in Saint-Pierre ............................... 35  </w:t>
        <w:br/>
        <w:t xml:space="preserve">(3) Score store located at 21, rue de la Cayenne in Saint-Pierre ............................. 35  </w:t>
        <w:br/>
        <w:t xml:space="preserve">(4) Score store located at 1, lotissement La Falaise in Saint-Pierre ......................... 35  </w:t>
        <w:br/>
        <w:t xml:space="preserve">c) Analysis of catchment areas centered on stores located in Saint-Denis ..................... 36  </w:t>
        <w:br/>
        <w:t xml:space="preserve">(1) Jumbo Score store located at 42, avenue Joseph Bédier in Sainte-Clotilde ........ 36  </w:t>
        <w:br/>
        <w:t xml:space="preserve">(2) Score store located at 35, allée des Topazes in Saint-Denis ............................... 36  </w:t>
        <w:br/>
        <w:t xml:space="preserve">(3) Score store located at 4, boulevard Doret in Saint-Denis ..................................... 36  </w:t>
        <w:br/>
        <w:t xml:space="preserve">(4) Score store located at 9, rue du Bosquet in Sainte-Clotilde ............................... 37  </w:t>
        <w:br/>
        <w:t xml:space="preserve">(5) Score store located at 58, rue Jean Chatel in Saint-Denis ................................... 37  </w:t>
        <w:br/>
        <w:t xml:space="preserve">d) Analysis of catchment areas centered on stores located in Sainte-Marie, Saint-Benoît, Saint-André, and Saint-Louis .......................................................................................... 37  </w:t>
        <w:br/>
        <w:t xml:space="preserve">(1) Jumbo Score store located on rue Michel Ange in Sainte-Marie ......................... 37  </w:t>
        <w:br/>
        <w:t xml:space="preserve">(2) Jumbo Score store located at 6, chemin Goyaves in Saint-Benoît ...................... 38  </w:t>
        <w:br/>
        <w:t xml:space="preserve">(3) Jumbo Score store located at the Cocoteraie shopping center in Saint-André ... 38  </w:t>
        <w:br/>
        <w:t xml:space="preserve">(4) Score store located at 2, rue André Robert in Saint-Louis .................................. 39  </w:t>
        <w:br/>
        <w:t xml:space="preserve">5. The downstream retail distribution markets for non-food products ................................ 39  </w:t>
        <w:br/>
        <w:t xml:space="preserve">a) The downstream retail markets for electronic products ............................................... 39  </w:t>
        <w:br/>
        <w:t xml:space="preserve">(1) The local areas involving the Carrefour stores in Saint-Denis and Sainte-Suzanne ............................................................................................................................... 39  </w:t>
        <w:br/>
        <w:t xml:space="preserve">(2) The local areas involving the Carrefour store in Saint-Pierre .............................. 41  </w:t>
        <w:br/>
        <w:t xml:space="preserve">b) The downstream retail markets for DIY articles .......................................................... 42  </w:t>
        <w:br/>
        <w:t xml:space="preserve">c) The downstream retail markets for books ................................................................... 43  </w:t>
        <w:br/>
        <w:t xml:space="preserve">(1) Overlaps with the Carrefour store in Sainte-Clotilde* ......................................... 44  </w:t>
        <w:br/>
        <w:t xml:space="preserve">(2) Overlaps with the Carrefour store in Sainte-Suzanne ......................................... 44  </w:t>
        <w:br/>
        <w:t xml:space="preserve">6. The downstream markets for commercial catering .......................................................... 44  </w:t>
        <w:br/>
        <w:t xml:space="preserve">a) At the national level ....................................................................................................... 44  </w:t>
        <w:br/>
        <w:t xml:space="preserve">b) At the regional level ....................................................................................................... 45  </w:t>
        <w:br/>
        <w:t xml:space="preserve">c) At the local level ............................................................................................................ 45  </w:t>
        <w:br/>
        <w:t xml:space="preserve">B. Analysis of vertical effects ........................................................................................................................ 45  </w:t>
        <w:br/>
        <w:t xml:space="preserve">1. Between the markets for the production and marketing of dairy products and the market for the supply of dairy products in La Réunion ........................................................... 46  </w:t>
        <w:br/>
        <w:t xml:space="preserve">2. Between the wholesale distribution markets for food and non-food products and the markets for the supply of food-dominant products in La Réunion .......................... 47  </w:t>
        <w:br/>
        <w:t xml:space="preserve">IV. The commitments ............................................................................................................. 48  </w:t>
        <w:br/>
        <w:t xml:space="preserve">A. The proposed commitments ....................................................................................................................... 49  </w:t>
        <w:br/>
        <w:t xml:space="preserve">1. Commitments related to the downstream retail distribution market for food-dominant products and the downstream book distribution market ........................................... 49  </w:t>
        <w:br/>
        <w:t xml:space="preserve">2. Commitments related to the upstream market .................................................................................... 50  </w:t>
        <w:br/>
        <w:t xml:space="preserve">B. Assessment of the proposed commitments ............................................................................................ 50  </w:t>
        <w:br/>
        <w:t xml:space="preserve">1. Applicable principles ......................................................................................................................... 50  </w:t>
        <w:br/>
        <w:t xml:space="preserve">2. On the adequacy of the proposed measures ...................................................................................... 51  </w:t>
        <w:br/>
        <w:t xml:space="preserve">a) Commitments related to horizontal effects on the downstream retail markets ................. 51  </w:t>
        <w:br/>
        <w:t xml:space="preserve">(1) Commitments related to the stores under the Jumbo Score and Agora brands .......... 51  </w:t>
        <w:br/>
        <w:t xml:space="preserve">(a) The transfer of business assets .................................................................................. 51  </w:t>
        <w:br/>
        <w:t xml:space="preserve">(i) On the downstream retail markets for food-dominant products ......................... 52  </w:t>
        <w:br/>
        <w:t xml:space="preserve">(ii) On the downstream retail markets for books ......................................................... 53  </w:t>
        <w:br/>
        <w:t xml:space="preserve">(b) The choice of Make Distribution .............................................................................. 53  </w:t>
        <w:br/>
        <w:t xml:space="preserve">(2) The commitment related to the transfer of Score supermarkets ............................... 55  </w:t>
        <w:br/>
        <w:t xml:space="preserve">(a) The transfer of business assets .................................................................................. 55  </w:t>
        <w:br/>
        <w:t xml:space="preserve">(b) The choice of Ah-Tak ................................................................................................ 56  </w:t>
        <w:br/>
        <w:t>b) The commitments related to effects on the upstream supply market .......................... 57</w:t>
      </w:r>
    </w:p>
    <w:p>
      <w:r>
        <w:rPr>
          <w:b/>
        </w:rPr>
        <w:t>[Pages 7–9]</w:t>
      </w:r>
    </w:p>
    <w:p>
      <w:r>
        <w:t xml:space="preserve">I. The concerned companies and the operation  </w:t>
        <w:br/>
        <w:t xml:space="preserve">1. Groupe Bernard Hayot is a simplified joint-stock company, at the head of a group of the same name (hereinafter, "GBH"), primarily active in three areas of activity: food and non-food distribution, automotive distribution, and various industrial activities (agri-food, construction materials, tire retreading). GBH is active in the Antilles-Guyane region, but also in Réunion, Santo Domingo, Trinidad and Tobago, mainland France, New Caledonia, Algeria, Morocco, Ghana, Ivory Coast, and China.  </w:t>
        <w:br/>
        <w:t xml:space="preserve">2. In Réunion, GBH is present in the sectors of food and non-food distribution, fast food, and automotive distribution. GBH operates three retail stores primarily focused on food in the hypermarket format under the Carrefour brand located in Sainte-Clotilde, Sainte-Suzanne, and Saint-Pierre, with respective areas of 7,450 m², 7,000 m², and 5,990 m². The group also engages in wholesale distribution of predominantly food products as a wholesaler-importer through the companies Bamyrex and Sorelait. GBH also holds a logistics platform and central purchasing through the companies Bamappro and Ficarex, as well as a referencing center via the company Profima Réunion. Furthermore, the company operates as a producer of dairy products through the company Sorelait. GBH also operates large DIY stores under the "Mr Bricolage" brand through four stores located in Saint-Paul, Saint-Pierre, Sainte-Clotilde, and Sainte-Suzanne, and sports stores under the Décathlon brand via two stores located in Saint-Pierre and Sainte-Suzanne. GBH is active in the low-cost fast food sector by operating retail units selling bakery, pastry, and fast food products under the Brioche Dorée brand. The group is also active in the automotive distribution sector.  </w:t>
        <w:br/>
        <w:t xml:space="preserve">3. Vindémia Group is a single-member simplified joint-stock company, at the head of a group of the same name (hereinafter, "Vindémia"). It is exclusively controlled by the company Casino Guichard-Perrachon, the parent company of the Casino group, which is one of the main groups in the distribution sector in France. It is active in Réunion, Mayotte, Madagascar, and Mauritius.  </w:t>
        <w:br/>
        <w:t xml:space="preserve">4. In Réunion, the Vindémia group is active in the food and non-food distribution sector. Vindémia operates seven hypermarkets and fourteen supermarkets, respectively under the Jumbo Score and Score brands, both directly and through the company Vindémia Distribution. Additionally, four Score-branded stores, two supermarkets, and two convenience stores are operated by independents through a franchise network. Through Vindémia Distribution, the group also operates five cash-and-carry wholesale stores under the Supercash brand. Vindémia also manages, through the company Proxishop, a network of fifty-three proximity stores, franchised under the Vival brand. Vindémia also engages in wholesale distribution of predominantly food products as a wholesaler-importer through the company SDCOM. The group also holds a logistics platform, central purchasing, and referencing center through the company Vindémia Logistique. Furthermore, the Vindémia group is active in the distribution of non-food products via a store under the Agora and Espace Garden brands and five master-franchised stores under the Fnac brand.  </w:t>
        <w:br/>
        <w:t xml:space="preserve">5. The proposed operation consists of the acquisition by GBH of all the shares of the company Vindémia Group. As it results in the exclusive control by GBH of Vindémia, the notified operation constitutes a concentration within the meaning of Article L. 430-1 of the Commercial Code.  </w:t>
        <w:br/>
        <w:t xml:space="preserve">6. Under a control transfer protocol dated February 5, 2019, which was the subject of a reiterative transfer act on August 31, 2019, Vindémia transferred to GBH the entirety of the capital of the Société de Restauration Rapide de La Réunion (hereinafter, "SRRR"). The SRRR is active in Réunion in the fast food sector through seven business assets operated under the La Croissanterie brand. The activity of this company represented an annual turnover of […] million euros in 2018, this transfer was not subject, at the time of its realization, to the prior notification obligation to the competent competition authorities. However, in accordance with Article 5, paragraph 2, second subparagraph, of Regulation No. 139/2004 to which Article L. 430-2 of the Commercial Code refers, “[...] two or more operations within the meaning of the first subparagraph that have taken place over a period of two years between the same persons or companies are to be considered as a single concentration occurring at the date of the last operation.” In these conditions, given the time between the transfer act of February 5, 2019 concerning the SRRR and its reiterative act of August 31, 2019, on the one hand, and the purchase promise dated July 21, 2019 concerning Vindémia on the other hand, it is necessary to include this first transfer in the scope of the operation to be examined in this case.  </w:t>
        <w:br/>
        <w:t xml:space="preserve">7. The concerned companies together achieve a total turnover excluding taxes on a global scale of more than 75 million euros (GBH: [≥75 million] euros for the last fiscal year ending December 31, 2018; Vindémia: [≥75 million] euros for the same fiscal year). Each of these companies has achieved, in a DOM, a turnover exceeding 5 million euros (GBH: [≥5 million] euros in Réunion for the last fiscal year ending December 31, 2018; Vindémia: [≥5 million] euros in Réunion for the same fiscal year). Given these turnovers, the operation does not have a European dimension. However, the thresholds mentioned in III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8. The Price, Margin, and Income Observatory of Réunion and the Réunion region have sent the Authority studies commissioned by them respectively from the Bolonyocte and Sapiens firms concerning both the definition of the relevant markets and the competitive analysis of the operation. These two studies have been taken into account by the Competition Authority during the investigation, along with all elements received or collected.  </w:t>
        <w:br/>
        <w:t xml:space="preserve">9. The parties are simultaneously active in the markets for food-dominant retail and non-food-dominant retail in Réunion. Since GBH was not present in Mayotte before the operation, the takeover by GBH of Vindémia's activities in this department does not alter the competitive situation.  </w:t>
        <w:br/>
        <w:t xml:space="preserve">10. According to the consistent decision-making practice of French and European competition authorities, two categories of markets are delineated in this sector, both concerning food products2 and non-food products3. These include, on the one hand, the "upstream" supply markets (B) and, on the other hand, the "downstream" wholesale and retail distribution markets (C). Furthermore, even further upstream in the supply chain, GBH is active in the markets for the production and marketing of dairy products through the company Sorelait (A). Finally, the parties are also simultaneously active in the commercial catering market (D).  </w:t>
        <w:br/>
        <w:t xml:space="preserve">A. THE MARKETS FOR THE PRODUCTION AND MARKETING OF DAIRY PRODUCTS  </w:t>
        <w:br/>
        <w:t xml:space="preserve">11. In the milk sector, decision-making practice4 consistently distinguishes between the upstream markets for milk collection and the downstream markets for the commercialization of consumer milk and other dairy-derived products.  </w:t>
        <w:br/>
        <w:t xml:space="preserve">1. The product markets  </w:t>
        <w:br/>
        <w:t xml:space="preserve">12. European and national decision-making practice refers to several criteria to segment the dairy product markets: the family to which the product belongs, the distribution channel, and for large and medium-sized stores (hereinafter "GSA"), the mode of distribution and the commercial positioning of the products.  </w:t>
        <w:br/>
        <w:t xml:space="preserve">13. In its decision COMP/M.5046, Friesland Foods/Campina, the European Commission5 distinguished, within the market for the manufacture and marketing of dairy products, ten main distinct market segments: (i) basic dairy products (milk, yogurt), (ii) cheese, (iii) butter, (iv) value-added yogurts and cottage cheese, (v) flavored dairy beverages, (vi) fresh dairy desserts, (vii) cream, (viii) liquid coffee whiteners, (ix) dry emulsions in aerosol, and (x) lactose.  </w:t>
        <w:br/>
        <w:t>14. These segments have subsequently been sub-segmented according to distribution channels and the commercial positioning of the products.</w:t>
      </w:r>
    </w:p>
    <w:p>
      <w:r>
        <w:rPr>
          <w:b/>
        </w:rPr>
        <w:t>[Pages 10–12]</w:t>
      </w:r>
    </w:p>
    <w:p>
      <w:r>
        <w:t xml:space="preserve">a) Yogurts  </w:t>
        <w:br/>
        <w:t xml:space="preserve">15. Within the yogurt segment, excluding private label products, aimed at supermarkets and the out-of-home catering sector (hereinafter "RHF"), decision-making practice has distinguished between cow's milk yogurts, which it has further segmented into plain yogurts and value-added yogurts6. It has subsequently considered within the segment of so-called value-added yogurts, to distinguish those from the "health" segment with bifidus from those of the "gourmet" segment, as well as, among smooth and Swiss white cheeses, those from the "health" segment and those from the "gourmet" segment, while leaving these questions open7. A segmentation between organic and conventional dairy products has also been considered for yogurts8.  </w:t>
        <w:br/>
        <w:t xml:space="preserve">16. In this case, the exact definition of these markets can be left open, as the competitive analysis remains unchanged, regardless of the segmentation adopted.  </w:t>
        <w:br/>
        <w:t xml:space="preserve">b) Fresh dairy desserts  </w:t>
        <w:br/>
        <w:t xml:space="preserve">17. European practice9 has considered that the category of dairy desserts includes the following main products: liégeois, mousses, rice pudding, dessert creams, small pots of cream, egg/caramel/burnt/catalan creams, flans and puddings, clafoutis, rice cakes, floating islands, profiteroles, tiramisu. On two occasions concerning the French market, the European Commission has considered narrower markets within fresh dairy desserts, particularly by type of dessert, focusing particularly on the sector of egg/cooked creams. For its part, the Authority could not confirm the existence of a distinct market and concluded that there exists a highly differentiated market for dairy desserts10.  </w:t>
        <w:br/>
        <w:t xml:space="preserve">18. In this case, the exact definition of these markets can be left open, as the competitive analysis remains unchanged regardless of the segmentation adopted.  </w:t>
        <w:br/>
        <w:t xml:space="preserve">2. Geographic markets  </w:t>
        <w:br/>
        <w:t xml:space="preserve">19. In the field of food supply, competition authorities generally consider that competition operates at the national level11. Consumer preferences, tastes, and habits, price differences, variations in market shares of operators in different countries, and the strong presence of national brands justify this delimitation.  </w:t>
        <w:br/>
        <w:t xml:space="preserve">20. Thus, the geographic markets for ultra-fresh dairy products including yogurts and dairy desserts12 have been recognized as being of national dimension by French and European competition authorities.  </w:t>
        <w:br/>
        <w:t xml:space="preserve">6 See the aforementioned decision M.5046.  </w:t>
        <w:br/>
        <w:t xml:space="preserve">7 See the European Commission decision COMP/M.6441 Senoble/Agrial/Senagral JV of February 20, 2012.  </w:t>
        <w:br/>
        <w:t xml:space="preserve">8 See the decisions of the Competition Authority n° 13-DCC-97 of July 22, 2013 regarding the joint control of the companies Eurial SAS and Filae SAS by the cooperative groups Agrial and Eurial, and n° 16-DCC-59 aforementioned.  </w:t>
        <w:br/>
        <w:t xml:space="preserve">9 See the European Commission decision COMP/M.4344, Lactalis/Nestlé/JV(II).  </w:t>
        <w:br/>
        <w:t xml:space="preserve">10 See the decisions M.6441 and M.4344, and that of the Authority n° 16-DCC-59 aforementioned.  </w:t>
        <w:br/>
        <w:t xml:space="preserve">11 See the decisions of the Competition Authority n° 09-DCC-48 in the catering products sector, n° 10-DCC-21 in the vegetables and mushrooms sector, n° 10-DCC-60 in the ice cream sector.  </w:t>
        <w:br/>
        <w:t>12 See the aforementioned decision M.4344.</w:t>
      </w:r>
    </w:p>
    <w:p>
      <w:r>
        <w:t xml:space="preserve">21. However, regarding the overseas departments, the opinion n° 09-A-4513 of the Competition Authority dated September 8, 2009 concerning the mechanisms of import and distribution of consumer goods in the overseas departments highlighted the specific nature of supply circuits for consumer goods and its effects on the competitive balance of the markets concerned. Furthermore, part of the supply for retail chains with a food focus comes from local producers, in order to meet local tastes and eating habits, but also to limit import costs, including maritime freight and customs duties. In opinion n° 19-A-12, the Authority found that, for certain categories of products, including dairy products, local supply still represented a significant share of the supply for large retail chains, despite the increased competitive pressure from imported products highlighted by some Réunion producers14.  </w:t>
        <w:br/>
        <w:t xml:space="preserve">22. The geographic markets for supply could therefore be limited to each overseas department and region (DROM).  </w:t>
        <w:br/>
        <w:t xml:space="preserve">23. In this case, GBH is active via Sorelait in La Réunion. The target is present in the markets for the marketing of dairy products only in the markets for yogurts and fresh dairy desserts, aimed at supermarkets and the out-of-home catering sector (hereinafter "RHF") and for products excluding private label products. The analysis will be conducted at the level of this department as part of the analysis of the vertical effects of the operation.  </w:t>
        <w:br/>
        <w:t xml:space="preserve">B. UPSTREAM SUPPLY MARKETS  </w:t>
        <w:br/>
        <w:t xml:space="preserve">1. Upstream supply markets for food-dominant products  </w:t>
        <w:br/>
        <w:t xml:space="preserve">a) Product markets  </w:t>
        <w:br/>
        <w:t xml:space="preserve">24. In the food-dominant retail distribution sector, the upstream supply markets correspond to the sale of everyday consumer goods by producers to customers such as wholesalers, before their resale to retailers (supermarkets and specialized large stores, hereinafter "GSS") or to other businesses (for example, RHF)15.  </w:t>
        <w:br/>
        <w:t xml:space="preserve">25. Competition authorities usually distinguish as many markets as there are families or groups of products16. The following categories have thus been distinguished:  </w:t>
        <w:br/>
        <w:t xml:space="preserve">− consumer goods: (1) liquids, (2) drugstore, (3) perfumery and hygiene, (4) dry grocery, (5) para-pharmacy, (6) perishable goods in self-service;  </w:t>
        <w:br/>
        <w:t xml:space="preserve">− traditional fresh: (7) delicatessen, (8) fishmonger, (9) fruits and vegetables, (10) fresh bread and pastries, (11) butcher;  </w:t>
        <w:br/>
        <w:t xml:space="preserve">13 Opinion of the Competition Council n° 09-A-45 of September 8, 2009, concerning the mechanisms of import and distribution of consumer goods in the overseas departments.  </w:t>
        <w:br/>
        <w:t xml:space="preserve">14 Opinion n° 19-A-12 of July 4, 2019 regarding the functioning of competition in the overseas territories.  </w:t>
        <w:br/>
        <w:t xml:space="preserve">15 See in particular the decision M.1684 and the decisions n° 13-DCC-90, n° 17-DCC-11 and n° 19-DCC-180 aforementioned.  </w:t>
        <w:br/>
        <w:t>16 See in particular the European Commission decision of February 3, 1999 rendered in case M.1221 Rewe Meinl and the decision of January 25, 2000 rendered in case M.1684 aforementioned. See also the letter from Minister C2008-32 of July 9, 2008 Carrefour/SAGC and the decisions of the Competition Authority n° 09-DCC-50 of October 1, 2009 regarding the acquisition of the Team Ouest group by France Frais and n° 13-DCC-90, aforementioned.</w:t>
      </w:r>
    </w:p>
    <w:p>
      <w:r>
        <w:t xml:space="preserve">− bazaar: (12) DIY, (13) home, (14) culture, (15) toys, leisure and relaxation, (16) garden, (17) automotive;  </w:t>
        <w:br/>
        <w:t xml:space="preserve">− household appliances, photo, cinema and sound: (18) large household appliances, (19) small household appliances, (20) photo and cinema, (21) hi-fi and sound, (22) TV and video;  </w:t>
        <w:br/>
        <w:t xml:space="preserve">− textiles: (23) textiles and shoes.  </w:t>
        <w:br/>
        <w:t xml:space="preserve">26. The European Commission has also considered segmentation based on distribution channels17. In the decision Carrefour/Promodès18, it notes that "there are serious indications to suggest that certain supply markets can also be defined based on distribution channels, such that the supply of the food-dominant retail sector could constitute an autonomous market." The Competition Authority has also identified a distinct market for the supply of food products intended for supermarkets19.  </w:t>
        <w:br/>
        <w:t xml:space="preserve">27. Furthermore, within this latter market, the Authority has considered a sub-segmentation based on the commercial positioning of the product (supplier brand or "MDF", distributor brand or "MDD")20.  </w:t>
        <w:br/>
        <w:t xml:space="preserve">28. There is no reason to challenge the segmentations adopted by the decision-making practice of the Authority in the context of this decision.  </w:t>
        <w:br/>
        <w:t xml:space="preserve">29. In this case, the parties are simultaneously active as buyers in these markets.  </w:t>
        <w:br/>
        <w:t xml:space="preserve">b) Geographic markets  </w:t>
        <w:br/>
        <w:t xml:space="preserve">30. Competition authorities21 consider, regarding geographic delimitation, that supply markets are essentially of national dimension, while not excluding that, for certain categories of products, the market dimension may, in part, be narrower.  </w:t>
        <w:br/>
        <w:t xml:space="preserve">31. As indicated in paragraph 22 of this decision, the geographic markets for the supply of food and non-food products could be limited to each DROM22.  </w:t>
        <w:br/>
        <w:t xml:space="preserve">32. In this case, the parties are simultaneously active in La Réunion and the analysis will be conducted at the level of this department in a conservative approach.  </w:t>
        <w:br/>
        <w:t xml:space="preserve">17 See the aforementioned decision M.1221.  </w:t>
        <w:br/>
        <w:t xml:space="preserve">18 See the aforementioned decision M.1684.  </w:t>
        <w:br/>
        <w:t xml:space="preserve">19 See in particular the decisions of the Competition Authority n° 13-DCC-90 and n° 17-DCC-11 aforementioned, n° 15-DCC-80 of June 26, 2015 regarding the acquisition by Pomona SA of eight members of the Relais d’Or Miko network and the company Lux Frais and n° 15-DCC-141 of October 27, 2015 regarding the exclusive control of Davigel by Bain Capital.  </w:t>
        <w:br/>
        <w:t xml:space="preserve">20 See opinions n° 97-A-14 of July 1, 1997 regarding the participation of Carrefour in the capital of Grands Magasins B (GMB), n° 98-A-06 of May 5, 1998 regarding the acquisition by Casino-Guichard-Perrachon of TLC Béatrice Holdings France SA (Franprix-Leader Price brands), n° 15-A-06 of March 31, 2015 regarding the merger of purchasing and referencing centers in the large distribution sector and the aforementioned decision n° 17-DCC-11.  </w:t>
        <w:br/>
        <w:t xml:space="preserve">21 See for example decision n° 19-DCC-180 aforementioned.  </w:t>
        <w:br/>
        <w:t>22 See the decisions of the Competition Authority n° 10-DCC-25 of March 19, 2010 regarding the exclusive control of assets of the Louis Delhaize group by H Distribution (Hoio group), n° 10-DCC-197 of December 30, 2010 regarding the control of a business by Ho Hio Hen Investissements Outre-Mer, n° 11-DCC-45 of March 18, 2011 regarding the acquisition of exclusive control of the business of the Cora Desmarais hypermarket by Sodex Desmarais, n° 17-DCC-214 of December 20, 2017 regarding the exclusive control of assets of the Ho Hio Hen group by JKS Finances and n° 18-DCC-142 aforementioned. See also the opinion of the Competition Authority n° 19-A-12 of July 4, 2019 regarding the functioning of competition in the overseas territories.</w:t>
      </w:r>
    </w:p>
    <w:p>
      <w:r>
        <w:rPr>
          <w:b/>
        </w:rPr>
        <w:t>[Pages 13–15]</w:t>
      </w:r>
    </w:p>
    <w:p>
      <w:r>
        <w:t xml:space="preserve">2. The upstream markets for the supply of non-food products  </w:t>
        <w:br/>
        <w:t xml:space="preserve">a) Product markets  </w:t>
        <w:br/>
        <w:t xml:space="preserve">33. The parties purchase items from various suppliers which they then market to individuals.  </w:t>
        <w:br/>
        <w:t xml:space="preserve">34. In the sector of distributor supply, the decision-making practice of competition authorities considers that producers cannot easily switch to manufacturing products other than their own. It thus distinguishes as many markets as there are families of products23.  </w:t>
        <w:br/>
        <w:t xml:space="preserve">35. The different families of products are derived from the GfK (Gesellschaft für Konsumforschung) categorization24, and the Authority has recognized the following 18 families: (i) furniture, (ii) household linen, (iii) women's clothing, (iv) men's clothing, (v) children's clothing, (vi) underwear, (vii) shoes, (viii) leather goods, (ix) sports textiles, (x) sports shoes, (xi) small electrical appliances, (xii) large electrical appliances, (xiii) electronics, (xiv) decoration and gardening products, (xv) lighting, (xvi) toys, (xvii) luggage, and (xviii) tableware. However, this list is not exhaustive, and the Authority has been able to add complementary families during the examination of certain operations25.  </w:t>
        <w:br/>
        <w:t xml:space="preserve">36. In this case, the parties are simultaneously active in the following product families: household appliances (i), books (ii), and gardening and DIY products (iii).  </w:t>
        <w:br/>
        <w:t xml:space="preserve">(1) HOUSEHOLD APPLIANCES  </w:t>
        <w:br/>
        <w:t xml:space="preserve">37. The category of household appliances includes electrical and electronic products.  </w:t>
        <w:br/>
        <w:t xml:space="preserve">38. Based on the organization of the "purchasing" divisions of distributors, competition authorities use a segmentation according to the following product groups: (i) large household appliances; (ii) small household appliances; (iii) cameras / cinema; (iv) hi-fi / sound equipment; (v) TV / video equipment; (vi) computers / peripherals; and (vii) telephony.  </w:t>
        <w:br/>
        <w:t xml:space="preserve">39. In the past, the Authority has recognized an eighth distinct market for video game products (including consoles, accessories, and video games)26.  </w:t>
        <w:br/>
        <w:t xml:space="preserve">40. There is no reason to challenge the segmentations retained by the decision-making practice of the Authority in the context of this decision.  </w:t>
        <w:br/>
        <w:t xml:space="preserve">41. In this case, both parties are active in the supply markets for (i) large household appliances; (ii) small household appliances; (iii) cameras / cinema; (iv) hi-fi / sound equipment; (v) TV / video equipment; (vi) computers / peripherals; (vii) telephony; and (viii) video game products, Vindémia to supply its GSS (Agora and Fnac) and its GSA, and GBH to supply its GSA.  </w:t>
        <w:br/>
        <w:t xml:space="preserve">(2) BOOKS  </w:t>
        <w:br/>
        <w:t xml:space="preserve">42. Even though the sale of books by publishers to resellers often occurs through intermediaries, such as distributors (bookstores, hypermarkets, etc.), this does not mean that publishers lose control over the commercial conditions offered to resellers. On the contrary, publishers retain the ability to modify the general conditions established by their distributor, particularly the conditions governing discounts to resellers. This market is thus characterized by the meeting of an offer constituted by publishers and a demand emanating from resellers.  </w:t>
        <w:br/>
        <w:t xml:space="preserve">43. Competition authorities believe that, from both the supply and demand perspectives, a segmentation of the market for the sale of books by publishers to resellers, according to the types of resellers (bookstores, hypermarkets, and wholesalers), should be made27.  </w:t>
        <w:br/>
        <w:t xml:space="preserve">44. They have also considered a distinct segment for the sale of books by publishers to online resellers28.  </w:t>
        <w:br/>
        <w:t xml:space="preserve">45. Furthermore, competition authorities consider that the sale of books by publishers to resellers should be segmented according to the major categories of books: (i) general literature (category subdivided into large format and paperback), (ii) children's books, (iii) art books, (iv) practical books, (v) comic books, (vi) educational books, category subdivided into school books and extracurricular books, (vii) university and professional books, (viii) reference works, category subdivided into several segments, and (ix) booklets29.  </w:t>
        <w:br/>
        <w:t xml:space="preserve">46. Finally, competition authorities have also, while leaving the question open, considered a segmentation of the market for the sale of digital books, due to the logistical and distribution characteristics specific to this type of book30.  </w:t>
        <w:br/>
        <w:t xml:space="preserve">47. However, the question of the exact delineation of the markets for the sale of books by publishers to resellers can be left open, as the conclusions of the competitive analysis remain unchanged, regardless of the segmentation retained.  </w:t>
        <w:br/>
        <w:t xml:space="preserve">48. In this case, Vindémia is present in the upstream market for the supply of books intended for its GSS (Agora and Fnac). The parties are also simultaneously active, as buyers, in the market for the supply of books intended to be resold in their GSA.  </w:t>
        <w:br/>
        <w:t xml:space="preserve">(3) GARDENING AND DIY PRODUCTS  </w:t>
        <w:br/>
        <w:t xml:space="preserve">49. The upstream supply market includes the sale of DIY, gardening, and materials products by their manufacturers to wholesalers and purchasing or referencing centers, primarily large specialized DIY stores (hereinafter, "GSB"). Since producers generally manufacture specific products or groups of products and are not technically able to easily switch to manufacturing other products without incurring significant costs, a distribution by product groups has been considered by decision-making practice, both national31 and European32. Competition authorities have thus segmented between the following product groups: decoration (i), wall, floor, and tiling coverings (ii), tools (iii), hardware and storage (iv), electricity and lighting (v), sanitary equipment (vi), construction materials (vii), carpentry (viii), and gardening (ix).  </w:t>
        <w:br/>
        <w:t xml:space="preserve">50. The European Commission has also considered that certain supply markets could also be defined based on distribution channels, such that the supply of the specialized retail sector could constitute a distinct, autonomous market, separate from the supply of traders33.  </w:t>
        <w:br/>
        <w:t xml:space="preserve">51. There is no reason to challenge these segmentations in the context of this decision.  </w:t>
        <w:br/>
        <w:t xml:space="preserve">52. In this case, Vindémia is active in the market for the supply of gardening and DIY products for its GSA and GSS. GBH is also active in the market for the supply of gardening and DIY products for its GSA and GSB.  </w:t>
        <w:br/>
        <w:t xml:space="preserve">b) Geographical markets  </w:t>
        <w:br/>
        <w:t xml:space="preserve">53. According to the decision-making practice of competition authorities, the markets for the supply of non-food products are at least national in scope34.  </w:t>
        <w:br/>
        <w:t xml:space="preserve">(1) HOUSEHOLD APPLIANCES  </w:t>
        <w:br/>
        <w:t xml:space="preserve">54. Competition authorities35 consider that the supply markets for the retail trade of household appliances are at least national in scope, if not European.  </w:t>
        <w:br/>
        <w:t xml:space="preserve">55. In this case, without it being necessary to resolve the question of the exact geographical delineation of these markets, national markets will be retained, as the conclusions of the competitive analysis remain unchanged if the Authority were to retain supranational markets.  </w:t>
        <w:br/>
        <w:t xml:space="preserve">31 See in particular the decisions of the Competition Authority n° 17-DCC-215 of December 18, 2017, regarding the exclusive control of Bricorama France SAS, Bricorama Méditerranée SL, and Bricorama Asia LTD by ITM Équipement de la Maison, n° 13-DCC-40 of March 27, 2013, regarding the joint control of two businesses in DIY articles by La Boîte à Outils SAS and Mr. Bricolage SA, and n° 10-DCC-01 of January 12, 2010, regarding the exclusive control by Mr. Bricolage of Passerelle, as well as letters from the Minister of Economy dated August 29, 2002, Mr. Bricolage/Tabur, and April 7, 2004, Leroy Merlin/Domaxel.  </w:t>
        <w:br/>
        <w:t xml:space="preserve">32 See in particular the decision of the European Commission COMP/M.2898 of December 13, 2002, Leroy Merlin/Brico.  </w:t>
        <w:br/>
        <w:t xml:space="preserve">33 Decision M.2898 cited above.  </w:t>
        <w:br/>
        <w:t xml:space="preserve">34 See in particular decision n° 18-DCC-01 cited above.  </w:t>
        <w:br/>
        <w:t>35 See in particular decision n° 16-DCC-111 cited above.</w:t>
      </w:r>
    </w:p>
    <w:p>
      <w:r>
        <w:rPr>
          <w:b/>
        </w:rPr>
        <w:t>[Pages 16–18]</w:t>
      </w:r>
    </w:p>
    <w:p>
      <w:r>
        <w:t xml:space="preserve">(2) BOOKS  </w:t>
        <w:br/>
        <w:t xml:space="preserve">56. Regarding the markets for the sale of books by publishers to retailers36, competition authorities have identified a supranational dimension, covering at least the French-speaking area of the European Union, with the possible inclusion of French-speaking Switzerland37.  </w:t>
        <w:br/>
        <w:t xml:space="preserve">57. In this case, without the need to resolve the question of the exact geographical delimitation of these markets, national markets will be retained, with the conclusions of the competitive analysis remaining unchanged on supranational markets.  </w:t>
        <w:br/>
        <w:t xml:space="preserve">(3) GARDENING AND DIY PRODUCTS  </w:t>
        <w:br/>
        <w:t xml:space="preserve">58. Decision-making practice has recognized at least a national dimension for the markets for the supply of DIY articles, both at the national level38 and concerning the European Commission39.  </w:t>
        <w:br/>
        <w:t xml:space="preserve">59. From the demand perspective, distribution groups and their purchasing and referencing centers have procurement policies that may consist of local, regional, national, or even international business relationships. These variations are reflected in the different assortments of distributors according to the countries.  </w:t>
        <w:br/>
        <w:t xml:space="preserve">60. From the supply perspective, producers can be national suppliers or companies of European or global size. Nevertheless, in the latter case, companies generally have subsidiaries established at the national level. This does not exclude that, for certain supplied products, the market dimension may, in part, be broader than national.  </w:t>
        <w:br/>
        <w:t xml:space="preserve">61. Similarly, the European Commission noted that while a number of suppliers were international companies, they adopted national sales policies due to differences in consumer preferences on the one hand, and technical specificities and business practices unique to each country on the other40.  </w:t>
        <w:br/>
        <w:t xml:space="preserve">62. In this case, without the need to resolve the question of the exact geographical delimitation of these markets, national markets will be retained, with the conclusions of the competitive analysis remaining unchanged on supranational markets.  </w:t>
        <w:br/>
        <w:t xml:space="preserve">36 Excluding the markets for the sale of school books and university and professional books, for which a national definition has been retained.  </w:t>
        <w:br/>
        <w:t xml:space="preserve">37 See all the aforementioned decisions related to the book markets, notably decision no. 19-DCC-132 cited above.  </w:t>
        <w:br/>
        <w:t xml:space="preserve">38 Decisions no. 13-DCC-40, no. 10-DCC-01, and no. 17-DCC-215, and the letters of April 7, 2004, and August 29, 2002 cited above.  </w:t>
        <w:br/>
        <w:t xml:space="preserve">39 European Commission decision IV/M.1333 of December 17, 1998, Kingfisher/Castorama.  </w:t>
        <w:br/>
        <w:t>40 Cited decision M.1333.</w:t>
      </w:r>
    </w:p>
    <w:p>
      <w:r>
        <w:t xml:space="preserve">C. DOWNSTREAM MARKETS FOR DISTRIBUTION  </w:t>
        <w:br/>
        <w:t xml:space="preserve">1. Wholesale distribution markets for food and non-food products  </w:t>
        <w:br/>
        <w:t xml:space="preserve">a) Product markets  </w:t>
        <w:br/>
        <w:t xml:space="preserve">63. Regarding the wholesale distribution of food and non-food products, competition authorities41 recognize the existence of distinct markets by distribution channel: GSA, RHF, and agri-food industry (or "IAA").  </w:t>
        <w:br/>
        <w:t xml:space="preserve">64. Due in particular to the strong specialization of wholesale importers in the DROM, the Authority has recognized a segmentation of the wholesale distribution markets for food and non-food products intended for GSA by major product families (beverages, fresh products, dry products, frozen products, perishable products in self-service, drugstore-cosmetics-hygiene, etc.)42.  </w:t>
        <w:br/>
        <w:t xml:space="preserve">65. Regarding the wholesale distribution of food products intended for RHF, the Authority has considered a market segmentation based on: (i) the mode of distribution (wholesale self-service warehouse, known as "cash and carry," distinct from traditional wholesale), (ii) the type of clientele, and (iii) the type of products43. Additionally, the Authority has identified a market for the wholesale distribution of hygiene and maintenance products aimed at a professional clientele, including RHF44.  </w:t>
        <w:br/>
        <w:t xml:space="preserve">66. There is no reason to challenge the segmentations retained by the decision-making practice of the Authority in the context of this decision.  </w:t>
        <w:br/>
        <w:t xml:space="preserve">67. In this case, only Vindémia is present in the market for wholesale self-service warehouse ("cash and carry") aimed at RHF and local businesses through its brand Supercash. However, the parties are simultaneously active in the traditional wholesale market aimed at GSA for beverages, grocery products, and perishable products in self-service, GBH through wholesalers Bamyrex and Sorelait, and Vindémia through SDCOM.  </w:t>
        <w:br/>
        <w:t xml:space="preserve">68. The competitive analysis will be conducted on the wholesale distribution markets for beverages, grocery products, and perishable products in self-service aimed at GSA.  </w:t>
        <w:br/>
        <w:t xml:space="preserve">b) Geographical markets  </w:t>
        <w:br/>
        <w:t xml:space="preserve">69. The Authority has considered the existence of a wholesale distribution market for GSA at the level of each DROM, corresponding to the activity of wholesale importers. As noted by the Authority in its opinion no. 19-A-12 of July 4, 2019 regarding the functioning of competition in Overseas Territories, wholesale importers are structural actors in the ultramarine distribution model45. The specificity of this supply chain and its essential nature in supplying GSA justify that a wholesale distribution market for food and non-food products be recognized for each DROM46.  </w:t>
        <w:br/>
        <w:t xml:space="preserve">70. Regarding wholesale distribution aimed at RHF, the effects of the operation can also be assessed at the level of each DROM.  </w:t>
        <w:br/>
        <w:t xml:space="preserve">71. In this case, the parties are simultaneously active in La Réunion in the wholesale distribution market aimed at GSA, particularly concerning beverages, grocery products, and perishable products in self-service. The analysis will be conducted at the level of this department.  </w:t>
        <w:br/>
        <w:t xml:space="preserve">2. Downstream retail distribution markets for predominantly food products  </w:t>
        <w:br/>
        <w:t xml:space="preserve">a) Product markets  </w:t>
        <w:br/>
        <w:t xml:space="preserve">72. Regarding the retail sale of everyday consumer goods, decision-making practice distinguishes six categories of trade using several criteria, including store size, sales techniques, accessibility, the nature of the service provided, and the range of products offered: (i) hypermarkets (legal sales area greater than 2,500 m²), (ii) supermarkets (between 400 and 2,500 m²), (iii) specialized trade, (iv) small retail trade or convenience stores (less than 400 m²), (v) discount stores, and (vi) mail-order sales47.  </w:t>
        <w:br/>
        <w:t xml:space="preserve">73. However, it should be noted that the criterion of sales area must be used with caution and adapted to each specific case when circumstances justify it: stores whose area is close to one of the thresholds defined above may thus find themselves in direct competition with stores of another category48.  </w:t>
        <w:br/>
        <w:t xml:space="preserve">74. The Competition Authority considers that, while each category of store retains its specificity, there is asymmetric competition between certain of these categories. The practice thus distinguishes49:  </w:t>
        <w:br/>
        <w:t xml:space="preserve">− a market comprising only hypermarkets; and  </w:t>
        <w:br/>
        <w:t xml:space="preserve">− a market comprising supermarkets and equivalent forms of trade (hypermarkets, hard discount, and popular stores) excluding small retail trade (less than 400 m²).  </w:t>
        <w:br/>
        <w:t xml:space="preserve">75. There is no reason to challenge the segmentations retained by the decision-making practice of the Authority in the context of this decision.  </w:t>
        <w:br/>
        <w:t xml:space="preserve">76. In this case, Vindémia operates seven hypermarkets and fourteen supermarkets under the brands Jumbo Score and Score. GBH operates three hypermarkets under the Carrefour brand.  </w:t>
        <w:br/>
        <w:t xml:space="preserve">45 See opinion no. 19-A-12 cited above.  </w:t>
        <w:br/>
        <w:t xml:space="preserve">46 See opinions no. 09-A-45 and no. 19-A-12 as well as decisions no. 11-DCC-134 and no. 19-DCC-180 cited above.  </w:t>
        <w:br/>
        <w:t xml:space="preserve">47 See decisions of the Competition Authority no. 14-DCC-66, no. 19-DCC-180, and no. 13-DCC-90 cited above.  </w:t>
        <w:br/>
        <w:t xml:space="preserve">48 See decision no. 13-DCC-90 cited above.  </w:t>
        <w:br/>
        <w:t>49 Ibid.</w:t>
      </w:r>
    </w:p>
    <w:p>
      <w:r>
        <w:rPr>
          <w:b/>
        </w:rPr>
        <w:t>[Pages 19–21]</w:t>
      </w:r>
    </w:p>
    <w:p>
      <w:r>
        <w:t xml:space="preserve">b) Geographic Markets  </w:t>
        <w:br/>
        <w:t xml:space="preserve">77. As a preliminary point, the consistent decision-making practice of the Authority, including in the DOM, holds that the market for the retail distribution of predominantly food products is subject to a dual national and local analysis, taking into account the catchment area of each store. The elements presented by the aforementioned study by the Bolonyocte firm do not take this decision-making practice into account and relate to a regional market and analyses by population basin that are unrelated to the analytical methods traditionally employed by the Authority and which reflect the competitive reality less accurately than the areas defined by the so-called "actual footprints" method defined below. The market shares presented by said study cannot therefore be taken into account in the present decision.  </w:t>
        <w:br/>
        <w:t xml:space="preserve">78. The Authority considers that, depending on the size of the stores concerned, the conditions of competition are generally assessed over two different areas:  </w:t>
        <w:br/>
        <w:t xml:space="preserve">− a first area ("primary area") where consumer demand meets the supply of hypermarkets that they can access in less than 30 minutes by car and which are, from their perspective, substitutable for one another;  </w:t>
        <w:br/>
        <w:t xml:space="preserve">− a second area ("secondary area") where consumer demand meets the supply of supermarkets and other equivalent forms of commerce located within less than 15 minutes by car. These may include, in addition to supermarkets, hypermarkets and discount stores located in the secondary area50.  </w:t>
        <w:br/>
        <w:t xml:space="preserve">79. The Authority considers that the competitive analysis only pertains to the secondary area when the target store is a supermarket, the primary area being taken into account only when the target store is a hypermarket.  </w:t>
        <w:br/>
        <w:t xml:space="preserve">80. Other criteria may nevertheless be taken into account to assess the impact of a concentration on the competitive situation in the retail distribution markets, which may lead to refining the usual delineations in isochrone areas, based for example on the analysis of actual consumer behavior (assessed by examining surveys, or by calculating diversion ratios51) and on the actual footprints of the target stores.  </w:t>
        <w:br/>
        <w:t xml:space="preserve">81. Thus, as provided in paragraph 366 of the Authority's guidelines on the control of concentrations, the Authority may resort to the so-called "actual footprints" method to establish the relevant geographic market by taking into account the actual behavior of consumers. For this purpose, the Authority delineates catchment areas based on the study of the actual location of customers of a point of sale. Consumer behavior in a given area can thus be specified with the data collected by stores on the actual location of their customers. It is generally considered that the catchment area of a store can be limited to that which encompasses customers representing 80% of the store's revenue or 80% of the store's customers, depending on the available data52. The remainder is considered to be a sporadic and insignificant clientele, sometimes very distant from the point of sale.  </w:t>
        <w:br/>
        <w:t xml:space="preserve">50 See the Authority's decisions n° 12-DCC-48 of April 6, 2012, regarding the exclusive control of the company Sofides by ITM Entreprises, and n° 12-DCC-63 of May 9, 2012, regarding the exclusive control of the company Guyenne et Gascogne SA by Carrefour SA.  </w:t>
        <w:br/>
        <w:t xml:space="preserve">51 The diversion ratio measures the proportion of consumers of a good who switch to another good due to an increase in the price of the first good.  </w:t>
        <w:br/>
        <w:t xml:space="preserve">52 See in particular decision n° 17-DCC-216 of December 18, 2017, regarding the exclusive control of the assets of the companies Lilnat, Vetura, and Agora Distribution by Groupe Philippe Ginestet.  </w:t>
        <w:br/>
        <w:t xml:space="preserve">82. In this case, the notifying party has provided catchment areas based on actual footprints. The analysis will be conducted on these areas, which reflect the reality of consumer movements.  </w:t>
        <w:br/>
        <w:t xml:space="preserve">3. Downstream Markets for the Retail Distribution of Non-Food Products  </w:t>
        <w:br/>
        <w:t xml:space="preserve">83. To analyze the retail distribution of non-food products, competition authorities proceed by distinguishing between product families and distribution channels53.  </w:t>
        <w:br/>
        <w:t xml:space="preserve">84. In this case, the overlapping activities of the parties in the distribution of non-food products concern household appliances (i), books (ii), and gardening and DIY products (iii).  </w:t>
        <w:br/>
        <w:t xml:space="preserve">a) Household Appliances  </w:t>
        <w:br/>
        <w:t xml:space="preserve">(1) PRODUCT MARKETS  </w:t>
        <w:br/>
        <w:t xml:space="preserve">(a) Distinction Based on Product Family  </w:t>
        <w:br/>
        <w:t xml:space="preserve">85. Competition authorities54 traditionally distinguish within the category of household appliances three product families:  </w:t>
        <w:br/>
        <w:t xml:space="preserve">− white goods: cooktops, stoves, ovens, built-in sets, hoods, washing machines, dryers, dishwashers, refrigerators, freezers, small kitchen appliances, coffee makers, food processors, irons, and vacuum cleaners;  </w:t>
        <w:br/>
        <w:t xml:space="preserve">− brown goods: televisions, camcorders, hi-fi and audio equipment, digital devices, and DVD players;  </w:t>
        <w:br/>
        <w:t xml:space="preserve">− grey goods: personal computers, monitors, peripherals (printers or scanners), keyboards, modular accessories or spare parts (memory cards or additional hard drives), software, and telephony.  </w:t>
        <w:br/>
        <w:t xml:space="preserve">86. Regarding the distribution of white goods, decision-making practice has left open the question of a possible sub-segmentation between small and large appliances.  </w:t>
        <w:br/>
        <w:t xml:space="preserve">87. Furthermore, competition authorities55 have also considered that a finer segmentation of the market between "low-end" and "high-end" products was not relevant, as brands generally offer a wide assortment of products, regardless of their marketing positioning.  </w:t>
        <w:br/>
        <w:t xml:space="preserve">88. Moreover, concerning the distribution of video game products, referred to as "multimedia entertainment," the Authority's decision-making practice has considered the existence of a market for game consoles, console accessories, games for consoles and PCs, while leaving the question of its exact delineation open. A finer delineation by product type between (i) game software, (ii) consoles, and (iii) video game accessories had also been mentioned by the minister responsible for the economy56.  </w:t>
        <w:br/>
        <w:t xml:space="preserve">89. However, the Authority excludes from the competitive analysis dematerialized games sold at a distance57. Indeed, it noted that while the video game sector is characterized by constant and rapid innovation, particularly in terms of dematerialization, the term "dematerialized games" encompasses very heterogeneous products, such as digital versions of games for PCs or consoles that already exist in physical formats, free games, or online games. These games may be offered on devices (tablets, smartphones, etc.) that, unlike consoles, are not primarily dedicated to video gaming. The Authority also noted that providers of dematerialized games differ from traditional online providers of physical video game products. Thus, dematerialized games are not included in the market for the distribution of video game products, which, on the other hand, includes software, consoles, and video game accessories.  </w:t>
        <w:br/>
        <w:t xml:space="preserve">90. Consequently, video game products will be subject to a specific analysis, in accordance with the Authority's decision-making practice.  </w:t>
        <w:br/>
        <w:t xml:space="preserve">(b) Distinction by Distribution Channel  </w:t>
        <w:br/>
        <w:t xml:space="preserve">91. Competition authorities usually retain three criteria to delineate the relevant downstream distribution markets: the type of products sold, the format and size of stores, as only stores that consistently offer a wide assortment of products throughout the year exert real competitive pressure on one another58.  </w:t>
        <w:br/>
        <w:t xml:space="preserve">92. Thus, according to the Authority's decision-making practice59, a large retail store (GSS) in household appliances, such as Fnac, competes with other GSS (Boulanger and Darty), large multi-specialist stores (Conforama and But), which offer, in addition to household appliances, furniture and decoration products, groups of independent operators (Euronics/Gitem, Connexion, Digital or Expert), proximity stores, and large retail chains (GSA), as well as discount stores specializing in the retail of household appliances (Electro Dépôt).  </w:t>
        <w:br/>
        <w:t xml:space="preserve">93. Regarding online sales, the Authority estimated, in its decision concerning the acquisition of Darty by Fnac60, that, concerning the retail distribution of brown and grey products, the differences between online sales and in-store sales tend to diminish significantly, as brands present in both distribution channels adopt an "omni-channel" policy and the Internet has been integrated into the purchasing behavior of French consumers. The Authority concluded in this decision that, although the substitutability of the channels is not perfect, it appears sufficient to consider that online sales exert such competitive pressure on in-store sales that these two channels should now be regarded as part of the same market.  </w:t>
        <w:br/>
        <w:t xml:space="preserve">56 See the letter from the Minister of the Economy n°C2006-38 of April 13, 2006, to the advisors of Deutsche Bank, regarding a concentration in the video game sector.  </w:t>
        <w:br/>
        <w:t xml:space="preserve">57 See decision n° 13-DCC-49 of April 22, 2013, regarding the exclusive control of assets of Game France by Micromania Group SAS.  </w:t>
        <w:br/>
        <w:t xml:space="preserve">58 See in particular decision n° 16-DCC-111 cited above.  </w:t>
        <w:br/>
        <w:t xml:space="preserve">59 Decision n° 11-DCC-87 cited above.  </w:t>
        <w:br/>
        <w:t>60 Decision n° 16-DCC-111 cited above.</w:t>
      </w:r>
    </w:p>
    <w:p>
      <w:r>
        <w:rPr>
          <w:b/>
        </w:rPr>
        <w:t>[Pages 22–24]</w:t>
      </w:r>
    </w:p>
    <w:p>
      <w:r>
        <w:t>94. However, the Authority notes in its opinion n° 19-A-1261 of July 4, 2019, regarding the functioning of competition in the Overseas Territories, "the existence of strong barriers and constraints, especially logistical and customs-related, [which] significantly hinders the development of online commerce in the DROM." Among these barriers, the Authority identifies high delivery costs and the importance of delivery times, difficulties related to product return management, constraints associated with taxation (octroi de mer and overseas VAT rates), and a lack of visibility and market studies in the sector. Furthermore, it should be noted that "two-thirds of the online retail brands consulted by the Authority do not offer delivery to the DROM, and very few of them have a development project in these territories." In light of these elements, online sales constitute, in the case of the DROM, a less viable alternative to sales in physical stores. Therefore, the competitive pressure exerted by online product distribution actors on the non-food retail markets may be disregarded in the context of this decision.</w:t>
      </w:r>
    </w:p>
    <w:p>
      <w:r>
        <w:t xml:space="preserve">(c) Assessment in the specific case  </w:t>
        <w:br/>
        <w:t xml:space="preserve">95. In this case, Vindémia is active in the market for the distribution of white goods through its hypermarkets and its Agora store. Vindémia is also present in the brown goods market, the grey goods market, and the video game market through its Fnac and Agora stores as well as via its hypermarkets. GBH, for its part, is present in the markets for white goods, brown goods, grey goods, and video games through its hypermarkets.  </w:t>
        <w:br/>
        <w:t>96. In accordance with the Authority's decision-making practice, it is therefore appropriate to distinguish four distinct product markets: the white goods market, the grey goods market, the brown goods market, and the video game market. The question of whether these markets include or not distance selling in addition to physical distribution channels may, in light of the elements presented above, remain open. The competitive analysis will therefore be conducted on four product markets, each including all physical distribution channels.</w:t>
      </w:r>
    </w:p>
    <w:p>
      <w:r>
        <w:t xml:space="preserve">(2) GEOGRAPHICAL MARKETS  </w:t>
        <w:br/>
        <w:t xml:space="preserve">97. Regarding the distribution of furniture and household appliances, competition authorities have estimated that consumers are willing to travel for 20 to 45 minutes to visit a store and compare products and prices from one brand to another. However, this duration varies depending on the size of the store and other characteristics specific to each area, such as geography, population density, or other nearby stores.  </w:t>
        <w:br/>
        <w:t>98. In this case, given the specificities of the target points of sale, the analysis will be conducted on catchment areas of 30 minutes by car around these points.</w:t>
      </w:r>
    </w:p>
    <w:p>
      <w:r>
        <w:t xml:space="preserve">b) Books  </w:t>
        <w:br/>
        <w:t xml:space="preserve">(1) PRODUCT MARKETS  </w:t>
        <w:br/>
        <w:t xml:space="preserve">99. Regarding the sale of books to the final consumer, competition authorities distinguish the following markets:  </w:t>
        <w:br/>
        <w:t xml:space="preserve">− The sale of books by brokerage, particularly for "heavy" reference works, sold by a network of specialized representatives, or brokers, directly soliciting potential buyers.  </w:t>
        <w:br/>
        <w:t xml:space="preserve">− The sale of books at a distance, including online sales, mail-order sales, and club sales.  </w:t>
        <w:br/>
        <w:t xml:space="preserve">− The sale of books in physical stores.  </w:t>
        <w:br/>
        <w:t xml:space="preserve">The European Commission has identified a market including all types of retail stores: bookstores, specialized large stores, supermarkets and hypermarkets, newsstands, or stores specializing in a leisure activity (gardening, DIY, pet supplies, etc.) offering books related to that activity.  </w:t>
        <w:br/>
        <w:t xml:space="preserve">− The sale of books in discount stores offering end-of-line books at low prices.  </w:t>
        <w:br/>
        <w:t xml:space="preserve">100. Within the market for the retail sale of books in stores, the Authority has considered a distinction between the sale of new books and the sale of second-hand books.  </w:t>
        <w:br/>
        <w:t xml:space="preserve">101. The Authority has also questioned the existence of a market for the sale of digital books.  </w:t>
        <w:br/>
        <w:t xml:space="preserve">102. In this case, the activities of the parties overlap in the markets for the sale of new printed books to consumers.  </w:t>
        <w:br/>
        <w:t xml:space="preserve">103. The Authority's decision-making practice now considers that the inclusion of online book sales within a single market alongside in-store sales is justified.  </w:t>
        <w:br/>
        <w:t xml:space="preserve">104. However, in light of the elements presented in paragraph 94 regarding online sales in the DROM, it will not be useful, in this specific case, to take into account the competitive pressure exerted by online book distributors.  </w:t>
        <w:br/>
        <w:t>105. In light of the elements presented above, the competitive analysis will be conducted on the market for the retail sale of new books via physical stores.</w:t>
      </w:r>
    </w:p>
    <w:p>
      <w:r>
        <w:t xml:space="preserve">(2) GEOGRAPHICAL MARKETS  </w:t>
        <w:br/>
        <w:t xml:space="preserve">106. Competition authorities consider that the markets for the sale of books in stores correspond to the catchment area of each point of sale, even if the strategies and positions of the various actors at the national level are generally also taken into account.  </w:t>
        <w:br/>
        <w:t xml:space="preserve">107. In several decisions regarding the markets for the retail sale of books in stores, the Authority has analyzed the positions of the parties (i) at the national level and (ii) at the local level, taking into account two catchment areas defined by a travel time of 15 minutes by car and 15 minutes on foot around the target stores.  </w:t>
        <w:br/>
        <w:t xml:space="preserve">108. There is no reason to challenge the segmentations retained by the Authority's decision-making practice in the context of this decision.  </w:t>
        <w:br/>
        <w:t>109. The competitive analysis of book sales to the final consumer will therefore be conducted at the local level on catchment areas of 15 minutes by car around the target stores.</w:t>
      </w:r>
    </w:p>
    <w:p>
      <w:r>
        <w:t xml:space="preserve">c) Gardening and DIY Products  </w:t>
        <w:br/>
        <w:t xml:space="preserve">(1) PRODUCT MARKETS  </w:t>
        <w:br/>
        <w:t xml:space="preserve">110. The decision-making practice of national competition authorities has identified a market for the retail distribution of DIY articles. These products are characterized by meeting consumer needs for the arrangement, maintenance, and renovation of housing and gardens.  </w:t>
        <w:br/>
        <w:t xml:space="preserve">111. Gardening and DIY products are primarily marketed by large DIY stores, which have a surface area greater than 300 m², generally have more than 10,000 references, and cater to a clientele almost exclusively composed of individuals.  </w:t>
        <w:br/>
        <w:t xml:space="preserve">112. This definition has led to the exclusion from the market for the retail distribution of DIY articles:  </w:t>
        <w:br/>
        <w:t xml:space="preserve">i. proximity stores with a surface area of less than 300 m² (hardware stores, drugstores, discount stores), which constitute a distinct category of operators from large DIY stores, due to a much more limited assortment of products and services;  </w:t>
        <w:br/>
        <w:t xml:space="preserve">ii. large food stores, which generally have sections dedicated to DIY articles of less than 300 m² or a limited number of references, which are primarily consumables such as batteries and light bulbs; moreover, unlike large DIY stores, large food stores generally do not offer complementary services (advice, workshops, cutting, delivery, etc.);  </w:t>
        <w:br/>
        <w:t>iii. large specialized gardening stores, which sell very few DIY articles (an average of 1,500 references), or even do not offer any at all in some cases. However, when certain gardening brands or stores do have a DIY section, it is very focused on outdoor home projects or small</w:t>
      </w:r>
    </w:p>
    <w:p>
      <w:r>
        <w:rPr>
          <w:b/>
        </w:rPr>
        <w:t>[Pages 25–27]</w:t>
      </w:r>
    </w:p>
    <w:p>
      <w:r>
        <w:t xml:space="preserve">gardening tools, which represents a very small share of the range of products offered by the GSB73.  </w:t>
        <w:br/>
        <w:t xml:space="preserve">113. In this case, Vindémia sells gardening and DIY products to consumers through its Espace Garden store and its GSA. However, none of these stores dedicates more than 300 m² to the distribution of gardening and DIY products. Therefore, in light of decision-making practice, Vindémia is not considered active in this market.  </w:t>
        <w:br/>
        <w:t xml:space="preserve">114. However, due to concerns expressed by local actors regarding the position of the new entity in the market for the distribution of DIY and gardening products due to the local market structure, the Authority conducted, for all practical purposes, a competitive analysis of the market for the distribution of DIY and gardening products, including hypermarket sales points to the traditional market.  </w:t>
        <w:br/>
        <w:t xml:space="preserve">(2) GEOGRAPHICAL MARKETS  </w:t>
        <w:br/>
        <w:t xml:space="preserve">115. As noted by the competition authorities in their decision-making practice74, the retail markets for gardening and DIY products are essentially local in dimension, with their delineation depending on numerous factors, particularly the size of the stores and the nature of the products marketed.  </w:t>
        <w:br/>
        <w:t xml:space="preserve">116. The European Commission indicates that, in the case of specialized DIY stores, the extent of the catchment areas is variable, depending on the size of the store, its location, the product range, and the consumption habits of the households concerned75. It has thus identified the existence of catchment areas with a radius of approximately 20 kilometers around each sales point76, while specifying that their area may vary in cases where catchment areas overlap, as these overlaps ensure continuity of the conditions under which competition operates in these areas.  </w:t>
        <w:br/>
        <w:t xml:space="preserve">117. The practice of national competition authorities77 has established the following orders of magnitude regarding the catchment areas of DIY sales points:  </w:t>
        <w:br/>
        <w:t xml:space="preserve">− 15 to 20 minutes by car for medium-sized GSBs (with an area of less than 3,000 m²);  </w:t>
        <w:br/>
        <w:t xml:space="preserve">− 30 minutes by car for larger sales points in terms of area, or those that are relatively larger compared to immediate competitors, or those located near a particularly attractive hypermarket;  </w:t>
        <w:br/>
        <w:t xml:space="preserve">− 40 minutes by car for stores with an area greater than 5,000 m².  </w:t>
        <w:br/>
        <w:t xml:space="preserve">118. The Authority also takes into account the characteristics of each area. In particular, it considers the degree of competitive pressure that stores in the area are likely to exert on each other, taking into account their size and the distance separating them, the presence of urban areas likely to structure consumer movement flows, and finally the costs of these movements. The Authority may thus take into account, in certain cases, the presence of toll highways, or the specificities of rural areas, in which the population sometimes consents to longer travel times. It may also consider traffic routes sometimes dictated by the terrain.  </w:t>
        <w:br/>
        <w:t xml:space="preserve">119. In order not to create threshold effects, which could result from excluding sales points located on the margins of the defined areas from its analysis, the Authority also took into account the competition from sales points located at the edge of the area, within an additional driving time of approximately two minutes. This examination of the area boundaries is consistent with the Authority's practice regarding retail markets78.  </w:t>
        <w:br/>
        <w:t xml:space="preserve">120. For Mr. Bricolage branded sales points with areas greater than 3,000 m², the competitive analysis will therefore be conducted over a 30-minute area around the target sales points.  </w:t>
        <w:br/>
        <w:t xml:space="preserve">D. DOWNSTREAM MARKETS FOR COLLECTIVE CATERING  </w:t>
        <w:br/>
        <w:t xml:space="preserve">1. Service Markets  </w:t>
        <w:br/>
        <w:t xml:space="preserve">121. Within commercial catering, the decision-making practice of competition authorities distinguishes between (i) the low-cost fast food market (which includes fast-food outlets, self-service restaurants, and takeout/delivery services) and (ii) the more sophisticated catering market, including, in particular, table service79.  </w:t>
        <w:br/>
        <w:t xml:space="preserve">122. The European Commission80 considered retaining a "grab-and-go" catering market including fast food establishments (belonging to a chain or independent), pizzerias, cafés, coffee shops, sandwich shops, and takeout and delivery outlets. While leaving the question open, it also distinguished between chain restaurants and independents. The European Commission noted in this regard that large chains offer a guarantee of recognition, particularly in terms of service quality and consistency in menus, regardless of location, while independents offer more personalized service and greater flexibility.  </w:t>
        <w:br/>
        <w:t xml:space="preserve">123. The European Commission also questioned the existence of a distinct fast food market practicing "delivery/takeout."  </w:t>
        <w:br/>
        <w:t xml:space="preserve">124. Furthermore, the Authority considered a distinction between (i) Anglo-Saxon fast food, (ii) French fast food (sandwiches), and (iii) themed fast food (sushi, organic, Italian specialties, etc.)81.  </w:t>
        <w:br/>
        <w:t xml:space="preserve">125. There is no reason to challenge the segmentations retained by the decision-making practice in the context of this decision.  </w:t>
        <w:br/>
        <w:t xml:space="preserve">126. In this case, the parties are simultaneously active in the low-cost fast food market, Vindémia through SRRR (7 restaurants under the "La Croissanterie" brand) and GBH through its 9 "La Brioche Dorée" restaurants. This market will therefore be analyzed.  </w:t>
        <w:br/>
        <w:t xml:space="preserve">2. Geographical Markets  </w:t>
        <w:br/>
        <w:t xml:space="preserve">127. Competition in the commercial catering markets operates in local catchment areas82, which practically correspond to an urban area, within which the consumer compares the various offers available to them. However, decision-making practice also considers that these markets can have a national dimension, at which level the establishment strategies and advertising policies of large brands are defined83.  </w:t>
        <w:br/>
        <w:t xml:space="preserve">128. Regarding local analyses, catchment areas are generally defined by:  </w:t>
        <w:br/>
        <w:t xml:space="preserve">− a walking time of ten minutes for restaurants located within Paris and in the ten most populous cities in France (Bordeaux, Nantes, Rennes, Lille, Strasbourg, Marseille, Toulouse, Nice, Montpellier, and Lyon);  </w:t>
        <w:br/>
        <w:t xml:space="preserve">− a driving time of ten minutes for restaurants located in the rest of France (excluding Corsica);  </w:t>
        <w:br/>
        <w:t xml:space="preserve">− a driving time of thirty minutes for restaurants located in Corsica84.  </w:t>
        <w:br/>
        <w:t xml:space="preserve">129. There is no reason to challenge the segmentations retained by the Authority's decision-making practice in the context of this decision.  </w:t>
        <w:br/>
        <w:t xml:space="preserve">130. In this case, the parties are simultaneously present in La Réunion, with 7 restaurants for Vindémia and 9 restaurants for GBH.  </w:t>
        <w:br/>
        <w:t xml:space="preserve">131. In accordance with the Authority's practice, the geographical market retained consists of catchment areas corresponding to the distance traveled during a driving time of ten minutes around each target restaurant.  </w:t>
        <w:br/>
        <w:t xml:space="preserve">****  </w:t>
        <w:br/>
        <w:t xml:space="preserve">132. The operation examined by the Authority has generated significant local interest, leading a number of actors to express their opinions on the operation and to conduct studies that have been submitted to the Authority, including the studies by the Bolonyocte and Sapiens firms mentioned above. Additionally, the Authority conducted a significant number of hearings with the relevant operators (competing brands, suppliers, consumer associations, etc.). All of these elements have been integrated by the Authority into its analysis.  </w:t>
        <w:br/>
        <w:t>133. The studies by the Bolonyocte and Sapiens firms, in addition to some elements concerning the downstream market for food distribution, highlight GBH's activity as a producer outside La Réunion, but also its presence, in addition to the markets defined in this decision, in the automotive, sports goods distribution, and cosmetics distribution markets. These two studies thus alert to the overall weight of GBH in La Réunion and its importance in the "average basket" of Réunionese consumers.</w:t>
      </w:r>
    </w:p>
    <w:p>
      <w:r>
        <w:rPr>
          <w:b/>
        </w:rPr>
        <w:t>[Pages 28–30]</w:t>
      </w:r>
    </w:p>
    <w:p>
      <w:r>
        <w:t>134. However, the decision-making practice of national or European authorities has not, to date, characterized a generalist distribution market. Furthermore, the mission of the Authority, as defined by the Commercial Code, is to rule on the markets concerned by the operation: those where the parties are simultaneously active, and those where one of the parties is active and has vertical or related links with the markets where the other party is present. The Authority's analysis has therefore strictly focused on the markets where the parties were directly competing or where one is the supplier of the other. Regarding certain markets mentioned in the aforementioned studies, such as the automobile distribution market, the Authority's investigation did not demonstrate the existence of a related link with the markets analyzed below that would have justified a specific analysis.</w:t>
      </w:r>
    </w:p>
    <w:p>
      <w:r>
        <w:t>III. Competitive Analysis</w:t>
      </w:r>
    </w:p>
    <w:p>
      <w:r>
        <w:t>135. The horizontal (A.) and vertical (B.) effects that the operation is likely to generate will be successively analyzed below for each of the markets concerned by the operation.</w:t>
      </w:r>
    </w:p>
    <w:p>
      <w:r>
        <w:t>136. As a preliminary point, the Authority notes that GBH and the Casino group entered into a transitional supply agreement on April 29, 2020, whereby Casino commits for a duration of [Confidential], renewable once, to continue the contracts signed with Vindémia. On the one hand, these contracts are temporarily extended for a short duration, which cannot exceed [Confidential] in any case. On the other hand, following the operation, Vindémia no longer belonging to the Casino group, this agreement cannot be analyzed in terms of ancillary restrictions since it will not limit the parties' freedom of action in the market. This agreement will therefore not be analyzed in the context of this decision.</w:t>
      </w:r>
    </w:p>
    <w:p>
      <w:r>
        <w:t>A. ANALYSIS OF HORIZONTAL EFFECTS</w:t>
      </w:r>
    </w:p>
    <w:p>
      <w:r>
        <w:t>1. Upstream markets for the supply of predominantly food products</w:t>
      </w:r>
    </w:p>
    <w:p>
      <w:r>
        <w:t>a) At the national level</w:t>
      </w:r>
    </w:p>
    <w:p>
      <w:r>
        <w:t>137. The operation concerns, in particular, the change of control of a wholesale importer (SDCOM), 5 self-service wholesale distribution stores under the Supercash brand, 7 hypermarkets under the Jumbo Score brand, 14 supermarkets under the Score brand, and 7 low-cost fast food outlets under the La Croissanterie brand.</w:t>
      </w:r>
    </w:p>
    <w:p>
      <w:r>
        <w:t>138. Considering the upstream markets for the supply of predominantly food products, across all channels and all product categories, the purchasing share of the target companies represents less than [0-5]% of total supplies at the national level. Furthermore, the purchasing share of the target companies remains below [0-5]%, regardless of the channel and the category of product considered.</w:t>
      </w:r>
    </w:p>
    <w:p>
      <w:r>
        <w:t>139. When considering the upstream market for the supply of "Carrefour" private label products from the purchasing center of the brand, the operation is also not likely to significantly strengthen GBH's purchasing power. Indeed, at the national level, the new entity will represent less than [0-5]% of purchases of private label products from the Carrefour purchasing center. Consequently, it follows from the above that the operation is not likely to significantly strengthen GBH's purchasing power at the national level, across all products, by families or groups of products, regardless of the channels considered.</w:t>
      </w:r>
    </w:p>
    <w:p>
      <w:r>
        <w:t>b) At the local level</w:t>
      </w:r>
    </w:p>
    <w:p>
      <w:r>
        <w:t>140. GBH has not been able to provide market share estimates at the level of La Réunion corresponding to all the families and categories of products identified in the decision-making practice of the Authority. In the absence of specific data available for the DROM, GBH has, however, presented estimates on the different families and categories of products, based on the future market share downstream in terms of surface area. The Authority has weighted these estimates through several analyses, based notably on the market share in surface area downstream of the target stores, but also on the downstream market share of the new entity based on its turnover. The analyses carried out indicate that it is not possible to rule out that the market share of the new entity could exceed 25% for certain categories of families and products, across all channels or in the GSA channel.</w:t>
      </w:r>
    </w:p>
    <w:p>
      <w:r>
        <w:t>141. In any case, any competition concerns regarding the upstream markets for the supply of predominantly food products at the local level can be dismissed in light of the commitments submitted by GBH and analyzed below.</w:t>
      </w:r>
    </w:p>
    <w:p>
      <w:r>
        <w:t>142. The strengthening of GBH's purchasing power at the local level, resulting from the addition of market shares of the target with those previously held by GBH before the operation, occurs in markets where the supply sector is much less concentrated than that of demand. Indeed, in the supply markets in La Réunion, seven brands operate nearly all GSA with a sales area greater than 400 m² and address numerous local producers and wholesale importers, of varying sizes, more or less specialized in a family of products, whether or not linked to a distribution group.</w:t>
      </w:r>
    </w:p>
    <w:p>
      <w:r>
        <w:t>143. According to the decision-making practice of competition authorities, the risk of economic dependence for a supplier is assessed notably in relation to the share that a customer represents in the supplier's total sales. Competition authorities consider that there is a "threshold of threat" beyond which the survival of the manufacturer is likely to be jeopardized, with the loss of this customer placing the supplier in a financially difficult situation, which can sometimes lead to bankruptcy. However, the level of this threshold is not fixed and depends on a large number of specific parameters, depending on the sectors concerned, such as the structure and financial situation of the companies, the existence and cost of potential alternative solutions85.</w:t>
      </w:r>
    </w:p>
    <w:p>
      <w:r>
        <w:t>144. The characteristics of the supply and demand sectors of the markets for the supply of predominantly food products in La Réunion, in which seven main buyers address numerous suppliers, are similar to those of the market examined by the Commission in its decision of February 3, 1999, Rewe-Meinl86. In this decision, the European Commission estimated the threshold at 22% beyond which a producer cannot replace the loss of a customer without incurring significant financial losses, considering that in the circumstances of the case, switching to other distribution channels (GSS, for example) could prove costly, difficult, or even impossible for suppliers.</w:t>
      </w:r>
    </w:p>
    <w:p>
      <w:r>
        <w:t>145. Drawing inspiration from this decision, a threshold of 22% has been retained as a reference for the needs of this investigation. However, the analysis of the risk of economic dependence of suppliers has not been limited to the quantitative examination of the individual situations of suppliers in relation to this reference threshold. It has been supplemented by the results of a market test addressed to all suppliers of the parties, in both food and non-food products, which provided qualitative insights into the effects of the operation on the supply market.</w:t>
      </w:r>
    </w:p>
    <w:p>
      <w:r>
        <w:t>146. Based on the analysis conducted by GBH and the responses to the market test, the Authority identified a significant number of suppliers who will achieve more than 22% of their individual turnover with the new entity.</w:t>
      </w:r>
    </w:p>
    <w:p>
      <w:r>
        <w:t>147. Among these suppliers, the operation will result in crossing the reference threshold for about twenty of them. Furthermore, it will increase potential economic dependence for nearly a hundred others, while some suppliers who currently do not work or work little with GBH will achieve more than 22% of their turnover with the new entity.</w:t>
      </w:r>
    </w:p>
    <w:p>
      <w:r>
        <w:t>148. The operation could therefore have the effect of creating or strengthening economic dependence for these suppliers. This dependence is also likely to be reinforced due to the geographical situation of the territory of La Réunion and the local dimension of this market, which further limits the search for new outlets for local suppliers87.</w:t>
      </w:r>
    </w:p>
    <w:p>
      <w:r>
        <w:t>149. However, as noted by the Competition Council in its opinion of 199788, in the event that a concentration operation results in placing a single supplier or a small number of them in a situation of economic dependence on the new company resulting from the concentration, this circumstance alone would be insufficient to justify a prohibition or a challenge to the operation. The apprehension of individual cases of abuse of economic dependence falls within the competence of the Competition Authority ruling in contentious matters89. Furthermore, certain abusive practices may fall under the jurisdiction of the DGCCRF under the rules relating to restrictive commercial practices, and in particular Article L. 442-1 of the Commercial Code, which allows for the sanctioning of practices that create a significant imbalance for a contracting party in contractual relations.</w:t>
      </w:r>
    </w:p>
    <w:p>
      <w:r>
        <w:t>150. Moreover, as specified in the Authority's guidelines on concentration control, "[e]conomic dependence in itself constitutes a threat to competition only if it has an effect on competition in a market and, ultimately, on consumer surplus, and not simply on a supplier, insofar as the objective of competition authorities is not to protect a company as such, whether it is a competitor, customer, or supplier"90. It follows that a concentration operation is only likely to harm competition if the creation or strengthening of a state of economic dependence of the suppliers of the parties to the operation risks affecting the structure or functioning of competition in the relevant markets.</w:t>
      </w:r>
    </w:p>
    <w:p>
      <w:r>
        <w:t>151. In this case, given the significant number of suppliers who could be impacted by the operation, it is not possible to rule out any risk of harm to the functioning of the market.</w:t>
      </w:r>
    </w:p>
    <w:p>
      <w:r>
        <w:rPr>
          <w:b/>
        </w:rPr>
        <w:t>[Pages 31–33]</w:t>
      </w:r>
    </w:p>
    <w:p>
      <w:r>
        <w:t xml:space="preserve">competition in the markets for the supply of predominantly food products at the local level following the operation.  </w:t>
        <w:br/>
        <w:t xml:space="preserve">152. However, the notifying party has proposed commitments that allow for the prevention of this type of risk.  </w:t>
        <w:br/>
        <w:t xml:space="preserve">2. The upstream markets for the supply of non-food products  </w:t>
        <w:br/>
        <w:t xml:space="preserve">a) The upstream markets for the supply of household appliances  </w:t>
        <w:br/>
        <w:t xml:space="preserve">153. The parties are simultaneously present in the markets for the supply of (i) large household appliances; (ii) small household appliances; (iii) cameras/cinema; (iv) hi-fi/sound devices; (v) TV/video devices; (vi) computers/peripherals; (vii) telephony; and (viii) video game products, with Vindémia supplying its GSS (Agora and Fnac) and its GSA, and GBH supplying its GSA.  </w:t>
        <w:br/>
        <w:t xml:space="preserve">154. However, the notifying party believes that the market share of the new entity will be below [0-5] % at the national level, regardless of the product family considered.  </w:t>
        <w:br/>
        <w:t xml:space="preserve">155. Therefore, in light of paragraph 384 of the guidelines of the Competition Authority regarding merger control, the operation is not likely to harm competition in the markets for the supply of household appliances.  </w:t>
        <w:br/>
        <w:t xml:space="preserve">b) The upstream markets for the supply of DIY products  </w:t>
        <w:br/>
        <w:t xml:space="preserve">156. Regarding the upstream markets for the supply of DIY and gardening products, the purchases of the new entity will, according to the parties' estimates, be below [0-5] % of the market, across all product families, at the national level.  </w:t>
        <w:br/>
        <w:t xml:space="preserve">157. In markets defined by product family or distribution channel, the purchases of the new entity will remain below [0-5] %.  </w:t>
        <w:br/>
        <w:t xml:space="preserve">158. Therefore, in light of paragraph 384 of the guidelines of the Competition Authority regarding merger control, the operation is not likely to harm competition in the upstream markets for the supply of DIY products.  </w:t>
        <w:br/>
        <w:t xml:space="preserve">c) The upstream markets for the sale of books by publishers to resellers  </w:t>
        <w:br/>
        <w:t xml:space="preserve">159. According to GBH's estimates, the purchasing shares of the new entity remain below 25%, regardless of the segmentation and geographical dimension considered.  </w:t>
        <w:br/>
        <w:t xml:space="preserve">160. Therefore, in light of paragraph 384 of the guidelines of the Competition Authority regarding merger control, the operation is not likely to harm competition in the markets for the sale of books by publishers to resellers.  </w:t>
        <w:br/>
        <w:t xml:space="preserve">3. The downstream markets for the wholesale distribution of food and non-food products  </w:t>
        <w:br/>
        <w:t xml:space="preserve">161. In the wholesale distribution markets for food and non-food products, the activities of the parties only overlap in the markets targeting GSA.  </w:t>
        <w:br/>
        <w:t xml:space="preserve">a) At the national level  </w:t>
        <w:br/>
        <w:t xml:space="preserve">162. According to GBH's estimates, the combined market share of the new entity is well below [0-5] % regardless of the category considered. The operation is therefore not likely to raise competition issues in the wholesale distribution markets for food and non-food products at the national level.  </w:t>
        <w:br/>
        <w:t xml:space="preserve">b) At the regional level  </w:t>
        <w:br/>
        <w:t xml:space="preserve">163. According to GBH's estimates, the market shares of the parties would be as follows:  </w:t>
        <w:br/>
        <w:t xml:space="preserve">Market Shares  </w:t>
        <w:br/>
        <w:t xml:space="preserve">Product Categories GBH Vindémia  </w:t>
        <w:br/>
        <w:t xml:space="preserve">Combined  </w:t>
        <w:br/>
        <w:t xml:space="preserve">Liquids [0-5] % [0-5] % [0-5] %  </w:t>
        <w:br/>
        <w:t xml:space="preserve">DPH [10-20] % - [10-20] %  </w:t>
        <w:br/>
        <w:t xml:space="preserve">Dry grocery [5-10] % [0-5] % [10-20] %  </w:t>
        <w:br/>
        <w:t xml:space="preserve">Perishable products in LS [0-5] % [10-20] % [10-20] %  </w:t>
        <w:br/>
        <w:t xml:space="preserve">Total PGC [5-10] % [0-5] % [5-10] %  </w:t>
        <w:br/>
        <w:t xml:space="preserve">Charcuterie - - -  </w:t>
        <w:br/>
        <w:t xml:space="preserve">Fishmonger - [0-5] % [0-5] %  </w:t>
        <w:br/>
        <w:t xml:space="preserve">Fruits and vegetables - - -  </w:t>
        <w:br/>
        <w:t xml:space="preserve">Bread and pastries - [0-5] % [0-5] %  </w:t>
        <w:br/>
        <w:t xml:space="preserve">Butchery - - -  </w:t>
        <w:br/>
        <w:t xml:space="preserve">Total fresh traditional - [0-5] % [0-5] %  </w:t>
        <w:br/>
        <w:t xml:space="preserve">DIY - - -  </w:t>
        <w:br/>
        <w:t xml:space="preserve">Home - - -  </w:t>
        <w:br/>
        <w:t xml:space="preserve">Culture - - -  </w:t>
        <w:br/>
        <w:t xml:space="preserve">Toys/leisure/relaxation - - -  </w:t>
        <w:br/>
        <w:t xml:space="preserve">Garden - - -  </w:t>
        <w:br/>
        <w:t xml:space="preserve">Automotive - - -  </w:t>
        <w:br/>
        <w:t xml:space="preserve">Large/Small Household Appliances - - -  </w:t>
        <w:br/>
        <w:t xml:space="preserve">Photo/Cinema/HiFi/TV - - -  </w:t>
        <w:br/>
        <w:t xml:space="preserve">Textiles and shoes - - -  </w:t>
        <w:br/>
        <w:t xml:space="preserve">164. The combined market shares of the parties are below [10-20] % regardless of the product category, with a total absence of activity for several of the categories identified by practice, which allows for the conclusion of a lack of harm to competition in the wholesale distribution market for predominantly food and non-food products targeting GSA, regardless of the product family considered.  </w:t>
        <w:br/>
        <w:t xml:space="preserve">4. The downstream markets for the retail distribution of predominantly food products  </w:t>
        <w:br/>
        <w:t xml:space="preserve">165. The analysis of actual footprints shows that there is no overlap between the parties concerning the following target sales points: the Jumbo Score store in Saint-Paul, the Jumbo Score store in Le Port, the Score store in Le Port, the two Score stores in Saint-Paul, the Score store in Saint-Joseph, the Score store in Saint-Louis, and the Score store in Le Tampon.  </w:t>
        <w:br/>
        <w:t xml:space="preserve">a) Methodology  </w:t>
        <w:br/>
        <w:t xml:space="preserve">166. In the decision-making practice of the Authority, market shares in the downstream markets for the retail distribution of predominantly food products are most often calculated based on the sales areas of each of the stores present in the catchment area of the target sales point.  </w:t>
        <w:br/>
        <w:t xml:space="preserve">167. The investigation conducted by the Authority, including the numerous hearings of third parties concerned by the operation carried out by the investigation services both in the mainland and in La Réunion, highlighted the risk that the method of calculating market shares based on sales areas does not reflect the actual competitive pressure of each operator, given the significant disparity in turnover per m² between different brands, also emphasized by the aforementioned study produced by the Bolonyocte firm (p. 28 and p. 42 and following).  </w:t>
        <w:br/>
        <w:t xml:space="preserve">168. Furthermore, potential competition from sales points that only exist at the project stage at the time of the decision can be taken into account in the competitive analysis, provided that their opening is sufficiently certain and rapid to counteract any potential exercise of market power by the new entity. In the food distribution sector, decision-making practice generally considers that these conditions are met when the relevant projects have received authorization from the departmental commercial development commission and that the opening of the stores is to occur within a sufficiently close timeframe. More specifically, openings planned within a year, having received the necessary authorizations and cleared of any possibility of appeal, have been considered by decision-making practice as sufficiently certain and close91. In this case, in light of the criteria that have just been recalled, the Authority took into account in its competitive analysis the E. Leclerc store located in Sainte-Marie, which was scheduled to open in the first quarter of 2020. In contrast, the project for a new commercial zone by GBH in Saint-Paul (project "Renaissance") was not included in the analysis, as the notifying party confirmed that the project was uncertain, at least several years away, and had not been the subject of any request to the CDAC by the date of the decision.  </w:t>
        <w:br/>
        <w:t xml:space="preserve">169. The Authority considers that the method of calculating market shares based on sales areas remains the most relevant. It allows for the consideration of the operators' ability to quickly scale up. In a conservative approach, the Authority has, however, corroborated the analysis carried out according to this methodology by also taking into account the turnover generated by each of the sales points. To this end, it conducted a market test with the various brands active in La Réunion and operating sales points with an area greater than 400 m², which allowed it to collect comprehensive data.  </w:t>
        <w:br/>
        <w:t xml:space="preserve">b) Analysis of the catchment areas centered on the stores located in Saint-Pierre  </w:t>
        <w:br/>
        <w:t xml:space="preserve">(1) JUMBO SCORE STORE LOCATED AT 1, RUE DE LA POUDRIÈRE IN SAINT-PIERRE  </w:t>
        <w:br/>
        <w:t xml:space="preserve">170. Given the store's area of 4,281 m², it constitutes a hypermarket. In the area comprising only hypermarkets, the market share of the new entity will be [30-40] % in terms of turnover and [30-40] % in area. This level of share of  </w:t>
        <w:br/>
        <w:t>91 Decision No. 14-DCC-173 of November 21, 2014, regarding the exclusive control of Dia France SAS by Carrefour France SAS.</w:t>
      </w:r>
    </w:p>
    <w:p>
      <w:r>
        <w:rPr>
          <w:b/>
        </w:rPr>
        <w:t>[Pages 34–36]</w:t>
      </w:r>
    </w:p>
    <w:p>
      <w:r>
        <w:t>chiffre d’affaires et [10-20] % en surface) et ITM ([5-10] % en chiffre d’affaires et [5-10] % en surface).</w:t>
      </w:r>
    </w:p>
    <w:p>
      <w:r>
        <w:t>191. Compte tenu de ces éléments, il n’est pas possible d’exclure tout risque d’atteinte à la concurrence dans la zone du magasin Score situé 4, Boulevard Doret à Saint-Denis.</w:t>
      </w:r>
    </w:p>
    <w:p>
      <w:r>
        <w:t>192. En tout état de cause, la partie notifiante a déposé des engagements permettant de prévenir ce type de risque, analysés ci-dessous.</w:t>
      </w:r>
    </w:p>
    <w:p>
      <w:r>
        <w:rPr>
          <w:b/>
        </w:rPr>
        <w:t>[Pages 37–39]</w:t>
      </w:r>
    </w:p>
    <w:p>
      <w:r>
        <w:t xml:space="preserve">chiffre d’affaires et [10-20] % in surface) and ITM ([5-10] % in turnover and [5-10] % in surface).  </w:t>
        <w:br/>
        <w:t xml:space="preserve">191. Given these elements, it is not possible to exclude any risk of harm to competition in the area of the Score store located at 4, Boulevard Doret in Saint-Denis.  </w:t>
        <w:br/>
        <w:t xml:space="preserve">192. In any case, the notifying party has submitted commitments to prevent this type of risk, analyzed below.  </w:t>
        <w:br/>
        <w:t xml:space="preserve">(4) SCORE STORE LOCATED AT 9, RUE DU BOSQUET IN SAINTE-CLOTILDE  </w:t>
        <w:br/>
        <w:t xml:space="preserve">193. Given the surface area of the store of 1,200 m², it constitutes a supermarket. In the area including hypermarkets, supermarkets, and equivalent stores, the market share of the new entity will be [60-70] % in terms of turnover and [50-60] % in surface. The new entity will continue to face competition notably from the brands E. Leclerc ([20-30] % in turnover and [10-20] % in surface), Leader Price ([5-10] % in turnover and [10-20] % in surface) and ITM ([5-10] % in turnover and [5-10] % in surface).  </w:t>
        <w:br/>
        <w:t xml:space="preserve">194. Given these elements, it is not possible to exclude any risk of harm to competition in the area of the Score store located at 9, Rue du Bosquet in Sainte-Clotilde.  </w:t>
        <w:br/>
        <w:t xml:space="preserve">195. In any case, the notifying party has submitted commitments to prevent this type of risk, analyzed below.  </w:t>
        <w:br/>
        <w:t xml:space="preserve">(5) SCORE STORE LOCATED AT 58, RUE JEAN CHATEL IN SAINT-DENIS  </w:t>
        <w:br/>
        <w:t xml:space="preserve">196. Given the surface area of the store of 651 m², it constitutes a supermarket. In the area including hypermarkets, supermarkets, and equivalent stores, the market share of the new entity will be [60-70] % in terms of turnover and [50-60] % in surface. The new entity will continue to face competition notably from the brands E. Leclerc ([20-30] % in turnover and [10-20] % in surface), Leader Price ([5-10] % in turnover and [10-20] % in surface) and ITM ([5-10] % in turnover and [5-10] % in surface).  </w:t>
        <w:br/>
        <w:t xml:space="preserve">197. Given these elements, it is not possible to exclude any risk of harm to competition in the area of the Score store located at 58, Rue Jean Chatel in Saint-Denis.  </w:t>
        <w:br/>
        <w:t xml:space="preserve">198. In any case, the notifying party has submitted commitments to prevent this type of risk, analyzed below.  </w:t>
        <w:br/>
        <w:t xml:space="preserve">d) Analysis of the catchment areas centered on the stores located in Sainte-Marie, Saint-Benoît, Saint-André, and Saint-Louis  </w:t>
        <w:br/>
        <w:t xml:space="preserve">(1) JUMBO SCORE STORE LOCATED RUE MICHEL ANGE IN SAINTE-MARIE  </w:t>
        <w:br/>
        <w:t xml:space="preserve">199. Given the surface area of the store of 5,980 m², it constitutes a hypermarket. In the area including only hypermarkets, the market share of the new entity will be [80-90] % in terms of turnover and [70-80] % in surface. Furthermore, the new entity will only face competition from the brand E. Leclerc ([10-20] % in turnover and [20-30] % in surface), resulting in a reduction from three to two brands.  </w:t>
        <w:br/>
        <w:t xml:space="preserve">200. In the area including hypermarkets, supermarkets, and equivalent stores, the market share of the new entity will be [60-70] % in terms of turnover and [50-60] % in surface. The new entity will continue to face competition notably from the brands E. Leclerc ([20-30] % in turnover and [20-30] % in surface), ITM ([5-10] % in turnover and [0-5] % in surface), Leader Price ([0-5] % in turnover and [5-10] % in surface) and Système U ([0-5] % in turnover and [5-10] % in surface).  </w:t>
        <w:br/>
        <w:t xml:space="preserve">201. Given these elements, it is not possible to exclude any risk of harm to competition in the area of the Jumbo Score store located at Rue Michel Ange in Sainte-Marie.  </w:t>
        <w:br/>
        <w:t xml:space="preserve">202. In any case, the notifying party has submitted commitments to prevent this type of risk, analyzed below.  </w:t>
        <w:br/>
        <w:t xml:space="preserve">(2) JUMBO SCORE STORE LOCATED AT 6, CHEMIN GOYAVES IN SAINT-BENOÎT  </w:t>
        <w:br/>
        <w:t xml:space="preserve">203. Given the surface area of the store of 4,200 m², it constitutes a hypermarket. In the area including only hypermarkets, the market share of the new entity will be [80-90] % in terms of turnover and [70-80] % in surface. The new entity will continue to face competition from the brands E. Leclerc ([5-10] % in turnover and [10-20] % in surface) and Système U ([5-10] % in turnover and [5-10] % in surface).  </w:t>
        <w:br/>
        <w:t xml:space="preserve">204. In the area including hypermarkets, supermarkets, and equivalent stores, the market share of the new entity will be [60-70] % in terms of turnover and [50-60] % in surface. The new entity will continue to face competition notably from the brands Système U ([10-20] % in turnover and [10-20] % in surface), E. Leclerc ([10-20] % in turnover and [5-10] % in surface) and Leader Price ([10-20] % in turnover and [10-20] % in surface).  </w:t>
        <w:br/>
        <w:t xml:space="preserve">205. Given these elements, it is not possible to exclude any risk of harm to competition in the area of the Jumbo Score store located at 6, chemin Goyaves in Saint-Benoît.  </w:t>
        <w:br/>
        <w:t xml:space="preserve">206. In any case, the notifying party has submitted commitments to prevent this type of risk, analyzed below.  </w:t>
        <w:br/>
        <w:t xml:space="preserve">(3) JUMBO SCORE STORE LOCATED AT THE LA COCOTERAIE SHOPPING CENTER IN SAINT-ANDRÉ  </w:t>
        <w:br/>
        <w:t xml:space="preserve">207. Given the surface area of the store of 2,946 m², it constitutes a hypermarket. In the area including only hypermarkets, the market share of the new entity will be [80-90] % in terms of turnover and [60-70] % in surface. The new entity will continue to face competition from the brands E. Leclerc ([20-30] % in turnover and [10-20] % in surface) and Système U ([10-20] % in turnover and [10-20] % in surface).  </w:t>
        <w:br/>
        <w:t xml:space="preserve">208. In the area including hypermarkets, supermarkets, and equivalent stores, the market share of the new entity will be [60-70] % in terms of turnover and [50-60] % in surface. The new entity will continue to face competition notably from the brands E. Leclerc ([10-20] % in turnover and [20-30] % in surface), Système U ([10-20] % in turnover and [10-20] % in surface) and Leader Price ([5-10] % in turnover and [5-10] % in surface).  </w:t>
        <w:br/>
        <w:t xml:space="preserve">209. Given these elements, it is not possible to exclude any risk of harm to competition in the area of the Jumbo Score store located at the La Cocoteraie shopping center in Saint-André.  </w:t>
        <w:br/>
        <w:t xml:space="preserve">210. In any case, the notifying party has submitted commitments to prevent this type of risk, analyzed below.  </w:t>
        <w:br/>
        <w:t xml:space="preserve">(4) SCORE STORE LOCATED AT 2, RUE ANDRÉ ROBERT IN SAINT-LOUIS  </w:t>
        <w:br/>
        <w:t xml:space="preserve">211. Given the surface area of the store of 1,116 m², it constitutes a supermarket. In the market including hypermarkets, supermarkets, and equivalent stores, the market share of the new entity will be [40-50] % in terms of turnover and [40-50] % in surface. This level of market share is well below the threshold of 50 % above which decision-making practice presumes the existence of significant market power96. Furthermore, the new entity will continue to face competition notably from the brands E. Leclerc ([20-30] % in turnover and [20-30] % in surface), Système U ([10-20] % in turnover and [10-20] % in surface), Auchan ([10-20] % in turnover and [10-20] % in surface) and Leader Price ([0-5] % in turnover and [0-5] % in surface).  </w:t>
        <w:br/>
        <w:t xml:space="preserve">212. Given these elements, the operation is not likely to raise competition issues in the area of the Score store located at 2, Rue André Robert in Saint-Louis.  </w:t>
        <w:br/>
        <w:t xml:space="preserve">5. The downstream markets for the retail distribution of non-food products  </w:t>
        <w:br/>
        <w:t xml:space="preserve">a) The downstream markets for the retail sale of electronic products  </w:t>
        <w:br/>
        <w:t xml:space="preserve">213. In the catchment areas defined by a 30-minute driving radius around the target sales points, the operation entails overlaps in activity between the parties in 11 local areas97.  </w:t>
        <w:br/>
        <w:t xml:space="preserve">(1) THE LOCAL AREAS INVOLVING THE CARREFOUR STORES IN SAINT-DENIS AND SAINTE-SUZANNE  </w:t>
        <w:br/>
        <w:t xml:space="preserve">214. The composition of the catchment areas of the FNAC stores in Sainte-Marie, Jumbo Score in Sainte-Marie, and Agora in Saint-André is identical. In these catchment areas, GBH is present through its Carrefour stores located in Saint-Denis and Sainte-Suzanne. The market shares of the parties are presented in the following table:  </w:t>
        <w:br/>
        <w:t xml:space="preserve">GBH Vindémia New entity  </w:t>
        <w:br/>
        <w:t xml:space="preserve">Brown products [10-20] % [20-30] % [40-50] %  </w:t>
        <w:br/>
        <w:t xml:space="preserve">Gray products [10-20] % [20-30] % [40-50] %  </w:t>
        <w:br/>
        <w:t xml:space="preserve">White products [10-20] % [20-30] % [40-50] %  </w:t>
        <w:br/>
        <w:t xml:space="preserve">215. In the markets for the retail sale of brown, gray, and white products, the market shares of the new entity will remain below 50 %. Furthermore, it will continue to face competition from the brands Darty, E. Leclerc, Système U, and several specialists in the markets for brown, gray, and white products.  </w:t>
        <w:br/>
        <w:t xml:space="preserve">216. Regarding the market for the retail sale of multimedia products, the notifying party has identified at least eleven competitors present in the retail distribution market for products.  </w:t>
        <w:br/>
        <w:t xml:space="preserve">96 Paragraph 395 of the Authority's guidelines.  </w:t>
        <w:br/>
        <w:t>97 Around the FNAC stores in Sainte-Marie, Saint-Benoît, Saint-Pierre (X2) and Le Port, but also around the Jumbo Score stores located in Sainte-Marie, Saint-André, Le Port, Saint-Pierre, Saint-Denis, and Saint-Benoît.</w:t>
      </w:r>
    </w:p>
    <w:p>
      <w:r>
        <w:rPr>
          <w:b/>
        </w:rPr>
        <w:t>[Pages 40–42]</w:t>
      </w:r>
    </w:p>
    <w:p>
      <w:r>
        <w:t xml:space="preserve">multimedia, with at least five specialized players, without being able to estimate the surface area and therefore provide reliable market shares.  </w:t>
        <w:br/>
        <w:t xml:space="preserve">217. Given these elements, the operation is not likely to raise competition issues in the retail distribution markets for household appliances in the areas of the stores in Sainte-Marie and Saint-André.  </w:t>
        <w:br/>
        <w:t xml:space="preserve">218. The composition of the catchment areas of the FNAC store located in Le Port and the Jumbo Score store located in the same city is identical. In these catchment areas, GBH is present through its Carrefour store located in Saint-Denis. The market shares of the parties are presented in the following table:  </w:t>
        <w:br/>
        <w:t xml:space="preserve">GBH Vindémia New entity  </w:t>
        <w:br/>
        <w:t xml:space="preserve">Brown products [5-10] % [10-20] % [20-30] %  </w:t>
        <w:br/>
        <w:t xml:space="preserve">Gray products [5-10] % [20-30] % [20-30] %  </w:t>
        <w:br/>
        <w:t xml:space="preserve">White products [5-10] % [10-20] % [20-30] %  </w:t>
        <w:br/>
        <w:t xml:space="preserve">219. In the retail markets for brown, gray, and white products, the market shares of the new entity will remain below 50%. Furthermore, it will continue to face competition from brands such as Darty, Ravate, E. Leclerc, Système U, and several specialists in the markets for brown, gray, and white products.  </w:t>
        <w:br/>
        <w:t xml:space="preserve">220. Regarding the retail market for multimedia products, the notifying party has identified, as in the previous catchment area, at least eleven competitors present in the retail distribution market for multimedia products, including at least five specialized players, without being able to estimate the surface area and therefore provide reliable market shares.  </w:t>
        <w:br/>
        <w:t xml:space="preserve">221. Given these elements, the operation is not likely to raise competition issues in the retail distribution markets for household appliances in the areas of the stores in Le Port.  </w:t>
        <w:br/>
        <w:t xml:space="preserve">222. In the catchment area of the Jumbo Score store in Saint-Denis, GBH is present through its Carrefour stores located in Saint-Denis and Sainte-Suzanne. The market shares of the parties are presented in the following table:  </w:t>
        <w:br/>
        <w:t xml:space="preserve">GBH Vindémia New entity  </w:t>
        <w:br/>
        <w:t xml:space="preserve">Brown products [10-20] % [30-40] % [40-50] %  </w:t>
        <w:br/>
        <w:t xml:space="preserve">Gray products [10-20] % [30-40] % [50-60] %  </w:t>
        <w:br/>
        <w:t xml:space="preserve">White products [10-20] % [20-30] % [40-50] %  </w:t>
        <w:br/>
        <w:t xml:space="preserve">223. In the retail markets for white and brown products, the market share of the new entity will remain below 50%. In the retail market for gray products, the market share of the new entity will be [50-60] %. Nevertheless, it will continue to face competition from brands such as Darty, Ravate, E. Leclerc, Système U, and several specialists in the retail market for gray products as well as in the markets for brown and white products.  </w:t>
        <w:br/>
        <w:t xml:space="preserve">224. Regarding the retail market for multimedia products, the notifying party has identified, as for the other relevant catchment areas, at least eleven competitors present in the retail distribution market for multimedia products, including at least five specialized players, without being able to estimate the surface area and therefore provide reliable market shares.  </w:t>
        <w:br/>
        <w:t xml:space="preserve">225. Given these elements, the operation is not likely to raise competition issues in the retail distribution markets for household appliances in the areas of the stores in Saint-Denis.  </w:t>
        <w:br/>
        <w:t xml:space="preserve">226. The composition of the catchment areas of the FNAC store in Saint-Benoît and the Jumbo Score store in Saint-Benoît is identical. In these areas, GBH is present through its Carrefour stores located in Saint-Denis and Sainte-Suzanne. The market shares of the parties are presented in the following table:  </w:t>
        <w:br/>
        <w:t xml:space="preserve">GBH Vindémia New entity  </w:t>
        <w:br/>
        <w:t xml:space="preserve">Brown products [10-20] % [20-30] % [40-50] %  </w:t>
        <w:br/>
        <w:t xml:space="preserve">Gray products [10-20] % [30-40] % [40-50] %  </w:t>
        <w:br/>
        <w:t xml:space="preserve">White products [10-20] % [20-30] % [40-50] %  </w:t>
        <w:br/>
        <w:t xml:space="preserve">227. In the retail markets for brown, gray, and white products, the market shares of the new entity will remain below 50%. Furthermore, it will continue to face competition from brands such as Darty, Ravate, E. Leclerc, Système U, and several specialists in the markets for brown, gray, and white products.  </w:t>
        <w:br/>
        <w:t xml:space="preserve">228. Regarding the retail market for multimedia products, the notifying party has identified, as for the other relevant catchment areas, at least eleven competitors present in the retail distribution market for multimedia products, including at least five specialized players, without being able to estimate the surface area and therefore provide reliable market shares.  </w:t>
        <w:br/>
        <w:t xml:space="preserve">229. Given these elements, the operation is not likely to raise competition issues in the retail distribution markets for household appliances in the areas of the stores in Saint-Benoît.  </w:t>
        <w:br/>
        <w:t xml:space="preserve">(2) LOCAL AREAS INVOLVING THE CARREFOUR STORE IN SAINT-PIERRE  </w:t>
        <w:br/>
        <w:t xml:space="preserve">230. The composition of the catchment areas of the FNAC store in Saint-Pierre (rue de la Poudrière) and the Jumbo Score store in Saint-Pierre is identical. In these areas, GBH is present through its Carrefour store located in Saint-Pierre. The market shares of the parties are presented in the following table:  </w:t>
        <w:br/>
        <w:t xml:space="preserve">GBH Vindémia New entity  </w:t>
        <w:br/>
        <w:t xml:space="preserve">Brown products [5-10] % [10-20] % [10-20] %  </w:t>
        <w:br/>
        <w:t xml:space="preserve">Gray products [5-10] % [10-20] % [10-20] %  </w:t>
        <w:br/>
        <w:t xml:space="preserve">White products [5-10] % [5-10] % [10-20] %  </w:t>
        <w:br/>
        <w:t xml:space="preserve">231. Regardless of the product family, the new entity will hold market shares below 25%. Furthermore, it will continue to face competition from brands such as Auchan, E. Leclerc, and Système U.  </w:t>
        <w:br/>
        <w:t xml:space="preserve">232. Regarding the retail market for multimedia products, the notifying party has identified at least eleven competitors present in the retail distribution market for multimedia products, including at least five specialized players, without being able to estimate the surface area and therefore provide reliable market shares.  </w:t>
        <w:br/>
        <w:t xml:space="preserve">233. In the catchment area of the FNAC store in Saint-Pierre (avenue des Indes), GBH is present through its Carrefour store located in Saint-Pierre. The market shares of the parties are presented in the following table:  </w:t>
        <w:br/>
        <w:t xml:space="preserve">GBH Vindémia New entity  </w:t>
        <w:br/>
        <w:t xml:space="preserve">Brown products [5-10] % [10-20] % [10-20] %  </w:t>
        <w:br/>
        <w:t xml:space="preserve">Gray products [5-10] % [10-20] % [10-20] %  </w:t>
        <w:br/>
        <w:t xml:space="preserve">White products [5-10] % [5-10] % [10-20] %  </w:t>
        <w:br/>
        <w:t xml:space="preserve">234. Regardless of the product family, the new entity will hold market shares below 25%. Furthermore, it will continue to face competition from brands such as Auchan, E. Leclerc, and Système U.  </w:t>
        <w:br/>
        <w:t xml:space="preserve">235. Regarding the retail market for multimedia products, the notifying party has identified at least eleven competitors present in the retail distribution market for multimedia products, including at least five specialized players, without being able to estimate the surface area and therefore provide reliable market shares.  </w:t>
        <w:br/>
        <w:t xml:space="preserve">236. Given these elements, the operation is not likely to raise competition issues in the retail distribution markets for household appliances in the areas of the stores in Saint-Pierre.  </w:t>
        <w:br/>
        <w:t xml:space="preserve">b) The downstream markets for the retail distribution of DIY articles  </w:t>
        <w:br/>
        <w:t xml:space="preserve">237. Regarding the downstream markets for the retail distribution of DIY articles, the target is only active in the GSA channel, unlike the acquirer who is also active in these markets in the GSB channel.  </w:t>
        <w:br/>
        <w:t xml:space="preserve">238. The decision-making practice of the Competition Authority provides that only GSAs with sections of at least 300 m² dedicated to DIY articles can compete with GSBs, which is not the case for any of the GSAs of the parties. Indeed, the maximum area allocated by Jumbo Score stores to DIY products is [≤300] m², with a turnover never exceeding […] €.  </w:t>
        <w:br/>
        <w:t xml:space="preserve">239. However, third parties have reported that the retail market for DIY articles in La Réunion could be impacted, given the weight of Mr. Bricolage stores owned by the acquirer.  </w:t>
        <w:br/>
        <w:t xml:space="preserve">240. The Competition Authority therefore conducted a conservative analysis of the downstream markets for the retail distribution of DIY articles, including all hypermarket-type points of sale in the retail distribution market for DIY products via the GSB channel.  </w:t>
        <w:br/>
        <w:t xml:space="preserve">241. Thus, from this conservative perspective, the activities of the parties overlap at each of the targeted hypermarkets. However, in each of these areas, there is at least one competing hypermarket-type point of sale as well as a significant number of GSBs, including points of sale under specialized brands such as Leroy Merlin, Ravate, or Weldom. The quality of the DIY product offering will therefore remain intact in each of the affected areas.  </w:t>
        <w:br/>
        <w:t>242. Given these elements, the operation is not likely to raise competition risks in the retail distribution markets for DIY products, regardless of the channel chosen.</w:t>
      </w:r>
    </w:p>
    <w:p>
      <w:r>
        <w:rPr>
          <w:b/>
        </w:rPr>
        <w:t>[Pages 43–45]</w:t>
      </w:r>
    </w:p>
    <w:p>
      <w:r>
        <w:t xml:space="preserve">c) The downstream markets for the retail sale of books  </w:t>
        <w:br/>
        <w:t xml:space="preserve">243. The target is active in the retail market for books through its Jumbo Score, FNAC, and Agora points of sale. GBH is active in this market only through its Carrefour stores.  </w:t>
        <w:br/>
        <w:t xml:space="preserve">244. Based on catchment areas defined by a 15-minute drive time around the target stores, the operation results in an overlap of activities between the parties in 9 areas98.  </w:t>
        <w:br/>
        <w:t xml:space="preserve">245. In four areas, the stores of the new entity represent between [20-30]% and [40-50]% of the retail space for books. This level of market share is below the 50% threshold above which decision-making practice presumes the existence of significant market power99. Furthermore, in each of these areas, the new entity will still face competition from numerous stores. Additionally, in each of these areas, due to the limited market share of Carrefour stores prior to the operation, the addition of market share is less than [5-10]% in each of these areas.  </w:t>
        <w:br/>
        <w:t xml:space="preserve">246. In the following five areas, the stores of the new entity will represent more than 50% of the retail space.  </w:t>
        <w:br/>
        <w:t xml:space="preserve">Position of Position of the  </w:t>
        <w:br/>
        <w:t xml:space="preserve">Position of  </w:t>
        <w:br/>
        <w:t xml:space="preserve">Vindémia in new entity Number of  </w:t>
        <w:br/>
        <w:t xml:space="preserve">Address of points GBH in terms  </w:t>
        <w:br/>
        <w:t xml:space="preserve">terms of in terms of stores  </w:t>
        <w:br/>
        <w:t xml:space="preserve">retail space of retail space competitors  </w:t>
        <w:br/>
        <w:t xml:space="preserve">FNAC, 30, Shopping  </w:t>
        <w:br/>
        <w:t xml:space="preserve">center of  </w:t>
        <w:br/>
        <w:t xml:space="preserve">[5-10]% [40-50]% [50-60]% 5  </w:t>
        <w:br/>
        <w:t xml:space="preserve">Parc in Sainte-Marie  </w:t>
        <w:br/>
        <w:t xml:space="preserve">FNAC, 6, Goyaves  </w:t>
        <w:br/>
        <w:t xml:space="preserve">path in Saint- [20-30]% [70-80]% [90-100]% 3  </w:t>
        <w:br/>
        <w:t xml:space="preserve">Benoît  </w:t>
        <w:br/>
        <w:t xml:space="preserve">Agora, Cocoteraie  </w:t>
        <w:br/>
        <w:t xml:space="preserve">Zone in Saint- [30-40]% [40-50]% [80-90]% 4  </w:t>
        <w:br/>
        <w:t xml:space="preserve">André  </w:t>
        <w:br/>
        <w:t xml:space="preserve">Jumbo Score, Michel  </w:t>
        <w:br/>
        <w:t xml:space="preserve">Angé street in [5-10]% [40-50]% [50-60]% 5  </w:t>
        <w:br/>
        <w:t xml:space="preserve">Sainte-Marie  </w:t>
        <w:br/>
        <w:t xml:space="preserve">Jumbo Score, 6,  </w:t>
        <w:br/>
        <w:t xml:space="preserve">Goyaves path in [20-30]% [70-80]% [90-100]% 3  </w:t>
        <w:br/>
        <w:t xml:space="preserve">Saint-Benoît  </w:t>
        <w:br/>
        <w:t xml:space="preserve">98 FNAC Saint-Denis, FNAC Sainte-Suzanne, FNAC Saint-Pierre (rue de la Poudrière), FNAC Saint-Pierre (avenue des Indes), Agora Saint-André, Jumbo Score Sainte-Marie, Jumbo Score Saint-Pierre, Jumbo Score Saint-Denis, and Jumbo Score Saint-Benoît.  </w:t>
        <w:br/>
        <w:t>99 Paragraph 395 of the Authority's guidelines.</w:t>
      </w:r>
    </w:p>
    <w:p>
      <w:r>
        <w:t xml:space="preserve">(1) OVERLAPS WITH THE CARREFOUR STORE IN SAINTE-CLOTILDE*  </w:t>
        <w:br/>
        <w:t xml:space="preserve">247. The activities of the parties overlap in the catchment areas of the Jumbo Score and FNAC stores in Sainte-Marie due to the presence of the Carrefour store in Sainte-Clotilde*. These catchment areas are identical in terms of present operators.  </w:t>
        <w:br/>
        <w:t xml:space="preserve">248. If the market share of the new entity exceeds 50%, it should be noted that this market share is primarily constituted by the strong position of the FNAC brand in the area, with the Carrefour store representing, with […] m², less than [10-20]% of the retail space.  </w:t>
        <w:br/>
        <w:t xml:space="preserve">249. Furthermore, a Leclerc hypermarket ([5-10]% in retail space) and a specialized store under the name Librairie autrement ([30-40]% in retail space), which represents the largest store in the area, are also present in the zone. Finally, with four stores in the area, the new entity will have less than 50% of the points of sale. However, these are four of the six largest points of sale in the area.  </w:t>
        <w:br/>
        <w:t xml:space="preserve">250. Given these elements, the investigation did not rule out any risk of harm to competition in the retail book distribution markets in the catchment areas of the target stores in Sainte-Marie.  </w:t>
        <w:br/>
        <w:t xml:space="preserve">251. In any case, the notifying party has submitted commitments to prevent this type of risk, analyzed below.  </w:t>
        <w:br/>
        <w:t xml:space="preserve">(2) OVERLAPS WITH THE CARREFOUR STORE IN SAINTE-SUZANNE  </w:t>
        <w:br/>
        <w:t xml:space="preserve">252. The activities of the parties overlap in the catchment areas of the Jumbo Score and FNAC stores in Saint-Benoît due to the presence of the Carrefour store in Sainte-Suzanne. These catchment areas are identical in terms of present operators.  </w:t>
        <w:br/>
        <w:t xml:space="preserve">253. Similarly, the activities of the parties overlap in the catchment area of the Agora store in Saint-André due to the presence of the Carrefour stores in Sainte-Suzanne and Saint-Denis.  </w:t>
        <w:br/>
        <w:t xml:space="preserve">254. The market share in retail space of the new entity in the Saint-Benoît areas is [90-100]% despite the presence of three competing points of sale. The new entity will thus have the four largest stores in terms of retail space in these two areas.  </w:t>
        <w:br/>
        <w:t xml:space="preserve">255. The market share in retail space of the new entity in the catchment area of the Agora store in Saint-André is [80-90]%. With five stores in the area, the new entity will have more than 50% of the points of sale.  </w:t>
        <w:br/>
        <w:t xml:space="preserve">256. Given these elements, the investigation did not rule out any risk of harm to competition in the retail book distribution markets in the catchment areas of the target stores in Saint-Benoît and Saint-André.  </w:t>
        <w:br/>
        <w:t xml:space="preserve">257. In any case, the notifying party has submitted commitments to prevent this type of risk, analyzed below.  </w:t>
        <w:br/>
        <w:t xml:space="preserve">6. The downstream markets for commercial catering  </w:t>
        <w:br/>
        <w:t xml:space="preserve">Both parties are active in the low-cost catering market and more specifically in the "French-style" fast food market.  </w:t>
        <w:br/>
        <w:t xml:space="preserve">a) At the national level  </w:t>
        <w:br/>
        <w:t xml:space="preserve">258. According to the notifying party, the market share of the new entity remains below [0-5]% regardless of the segmentation considered.  </w:t>
        <w:br/>
        <w:t xml:space="preserve">259. The operation is therefore not likely to harm competition in the commercial catering markets at the national level.  </w:t>
        <w:br/>
        <w:t xml:space="preserve">b) At the regional level  </w:t>
        <w:br/>
        <w:t xml:space="preserve">260. According to the notifying party, the market share of the new entity in La Réunion will remain below 25% regardless of the segmentation considered.  </w:t>
        <w:br/>
        <w:t xml:space="preserve">261. The operation is therefore not likely to harm competition in the commercial catering markets at the regional level.  </w:t>
        <w:br/>
        <w:t xml:space="preserve">c) At the local level  </w:t>
        <w:br/>
        <w:t xml:space="preserve">262. The activities of the parties overlap in six catchment areas.  </w:t>
        <w:br/>
        <w:t xml:space="preserve">263. In each of the identified areas, the market share of the new entity will remain below [20-30]% in the low-cost fast food market. The market shares of the parties are presented in the following table:  </w:t>
        <w:br/>
        <w:t xml:space="preserve">Cumulative Market Number of  </w:t>
        <w:br/>
        <w:t xml:space="preserve">Catchment  </w:t>
        <w:br/>
        <w:t xml:space="preserve">Market Share Target Market Share GBH in number of points of sale  </w:t>
        <w:br/>
        <w:t xml:space="preserve">areas  </w:t>
        <w:br/>
        <w:t xml:space="preserve">points of sale competitors  </w:t>
        <w:br/>
        <w:t xml:space="preserve">Saint-Pierre [0-5]% [10-20]% [10-20]% 20  </w:t>
        <w:br/>
        <w:t xml:space="preserve">Saint-Denis [0-5]% [0-5]% [5-10]% 22  </w:t>
        <w:br/>
        <w:t xml:space="preserve">Sainte-Clotilde [0-5]% [0-5]% [5-10]% 19  </w:t>
        <w:br/>
        <w:t xml:space="preserve">Le Port [5-10]% [0-5]% [10-20]% 19  </w:t>
        <w:br/>
        <w:t xml:space="preserve">Sainte-Marie [5-10]% [5-10]% [10-20]% 12  </w:t>
        <w:br/>
        <w:t xml:space="preserve">Saint-Paul [5-10]% [0-5]% [10-20]% 20  </w:t>
        <w:br/>
        <w:t xml:space="preserve">264. According to the estimates of the notifying party, in the "French-style" fast food market, the market share of the new entity will remain below 25% regardless of the area considered.  </w:t>
        <w:br/>
        <w:t xml:space="preserve">265. Therefore, in light of paragraph 384 of the Authority's guidelines on merger control, the operation is not likely to harm competition in the downstream markets for commercial catering.  </w:t>
        <w:br/>
        <w:t xml:space="preserve">B. ANALYSIS OF VERTICAL EFFECTS  </w:t>
        <w:br/>
        <w:t>266. A vertical concentration can restrict competition by making access to the markets in which the new entity will be active more difficult, potentially driving out competitors or penalizing them by increasing their costs. This lock-in can target downstream markets when the integrated company refuses to sell an input to its distributor competitors (input lock-in), or upstream markets when the downstream branch of the integrated company refuses to purchase products from manufacturers, thereby reducing their commercial outlets (customer lock-in). However, the decision-making practice of competition authorities generally considers that a risk of vertical effect can be ruled out as long as the</w:t>
      </w:r>
    </w:p>
    <w:p>
      <w:r>
        <w:rPr>
          <w:b/>
        </w:rPr>
        <w:t>[Pages 46–48]</w:t>
      </w:r>
    </w:p>
    <w:p>
      <w:r>
        <w:t xml:space="preserve">part of the company resulting from the operation in the relevant upstream and downstream markets does not exceed 30%100.  </w:t>
        <w:br/>
        <w:t xml:space="preserve">267. In this case, the acquirer is present in the market for the production and marketing of dairy products through the company Sorelait, while both parties are active in the wholesale distribution markets of food products intended for GSA and RHF via the companies Bamyrex, SDCOM, and Supercash. These markets are upstream of the markets for the supply of predominantly food products, in which the parties are also simultaneously active.  </w:t>
        <w:br/>
        <w:t xml:space="preserve">1. Between the markets for the production and marketing of dairy products and the market for the supply of dairy products in La Réunion  </w:t>
        <w:br/>
        <w:t xml:space="preserve">268. Only the acquirer is present in these markets through the company Sorelait. The notifying party estimates Sorelait's market share at [30-40]% in volume and [30-40]% in value in the overall market for the marketing of dairy products. Regarding the market for dairy products in MDF intended for GSA, the notifying party estimates Sorelait's market share at [30-40]% and [90-100]% in the market for value-added yogurts in MDF intended for GSA. Furthermore, Sorelait is the only company marketing Danone brand products in La Réunion, making it, according to all stakeholders interviewed, an essential entity for the actors in the retail distribution market of predominantly food products.  </w:t>
        <w:br/>
        <w:t xml:space="preserve">269. The new entity could therefore decide, following the operation, to no longer supply dairy products to its competitors present in the downstream market of retail distribution of predominantly food products (input locking).  </w:t>
        <w:br/>
        <w:t xml:space="preserve">270. However, the market for fresh dairy products is limited to the island of La Réunion, and the new entity will represent less than [40-50]% of Sorelait's turnover. As a result, the operation will not allow Sorelait to shift a significant portion of its current sales to competing stores to GBH stores without negatively impacting its profitability in the short and medium term, as these stores represent the majority of its turnover. It would not be in Sorelait's interest to deprive the competitors of the new entity in the downstream market of their supplies, as these represent the bulk of its outlets.  </w:t>
        <w:br/>
        <w:t xml:space="preserve">271. Third parties to the operation have also confirmed that the new entity has no interest in ceasing the marketing of Sorelait products to its competitors in the downstream market of the distribution of predominantly food products.  </w:t>
        <w:br/>
        <w:t xml:space="preserve">272. The new entity could also decide, for its stores, to no longer source from its competitors in the markets for the production and marketing of dairy products, thereby depriving them of an outlet in order to evict them from this market (customer locking). This competitive risk is notably mentioned in the aforementioned study produced by the Bolonyocte firm (pp. 65-66). It indeed highlights that the exposure of the Cilam brands, the main competitor of the parties, is on average about 35 to 40% lower at Carrefour compared to competing stores, leading to a loss of market share that will worsen due to the operation.  </w:t>
        <w:br/>
        <w:t xml:space="preserve">273. At the end of the Authority's investigation, it is not possible to exclude that the market share of the new entity may exceed 30% in the market for the supply of predominantly food products, and more specifically in the market for the supply of dairy products.  </w:t>
        <w:br/>
        <w:t xml:space="preserve">274. However, the Réunion market for the production and marketing of dairy products is almost exclusively composed of the companies Sorelait and Cilam. Now, the latter represents, according to the notifying party, [60-70]% market share and notably markets products under the Yoplait, Perle de Lait, and Candia brands, making it at least as essential an actor as Sorelait.  </w:t>
        <w:br/>
        <w:t xml:space="preserve">275. Furthermore, despite holding Sorelait, GBH has always predominantly sourced from Cilam. This is also the case for Vindémia:  </w:t>
        <w:br/>
        <w:t xml:space="preserve">Purchases PLF GBH Share Vindémia Share  </w:t>
        <w:br/>
        <w:t xml:space="preserve">Sorelait […] M€ [30-40]% […] M€ [20-30]%  </w:t>
        <w:br/>
        <w:t xml:space="preserve">Cilam […] M€ [50-60]% […] M€ [50-60]%  </w:t>
        <w:br/>
        <w:t xml:space="preserve">Others […] M€ [5-10]% […] M€ [10-20]%  </w:t>
        <w:br/>
        <w:t xml:space="preserve">Total […] M€ 100% […] M€ 100%  </w:t>
        <w:br/>
        <w:t xml:space="preserve">276. It is therefore highly unlikely that the new entity will cease its commercial relations with Cilam.  </w:t>
        <w:br/>
        <w:t xml:space="preserve">277. In any case, if the new entity were to favor Sorelait to the detriment of Cilam, given Cilam's market share in the market for the production and marketing of fresh dairy products in La Réunion, the presence of significant outlets outside the GBH group, and the turnover generated by the group to which Cilam is linked, the latter is unlikely to be evicted from the market.  </w:t>
        <w:br/>
        <w:t xml:space="preserve">278. Thus, in the event that the new entity implements a customer access locking strategy, it would not have a significant effect on the market for the production and marketing of dairy products.  </w:t>
        <w:br/>
        <w:t xml:space="preserve">279. The operation is therefore unlikely to lead to vertical effects that could harm competition in the market for the marketing of dairy products.  </w:t>
        <w:br/>
        <w:t xml:space="preserve">2. Between the wholesale distribution markets of food and non-food products and the markets for the supply of predominantly food products in La Réunion  </w:t>
        <w:br/>
        <w:t xml:space="preserve">280. The new entity could decide, following the operation, to no longer supply its competitors present in the downstream market of retail distribution of predominantly food products with products marketed by the companies SDCOM, Supercash, and Bamyrex (input locking). The aforementioned study by the Bolonyocte firm also considers that the wholesalers of the new entity could, thanks to their enhanced purchasing power, obtain more favorable purchasing conditions, which only the stores of the new entity could benefit from. The effect of such a strategy would be all the more significant as the brands managed by Bamyrex and SDCOM are, according to the study, very attractive (cf. pp. 66-67 of the study).  </w:t>
        <w:br/>
        <w:t xml:space="preserve">281. However, the market share of the new entity in the wholesale distribution markets of food products is less than [10-20]% regardless of the category considered.  </w:t>
        <w:br/>
        <w:t xml:space="preserve">282. Furthermore, all customers of the new entity in these markets who were surveyed responded that the companies SDCOM, Supercash, and Bamyrex were not essential and that alternative sourcing methods would always be available following the operation.  </w:t>
        <w:br/>
        <w:t xml:space="preserve">283. Given these elements, in the event that the new entity implements a strategy of locking access to inputs, it would not have a significant effect on the markets for the supply of predominantly food products regardless of the attractiveness of the brands managed by the new entity.  </w:t>
        <w:br/>
        <w:t xml:space="preserve">284. The new entity could also decide, for its stores, to no longer source from its competitors in the wholesale distribution markets of food and non-food products intended for GSA and RHF, thereby depriving its competitors of an outlet in order to evict them from the market (customer locking).  </w:t>
        <w:br/>
        <w:t xml:space="preserve">285. At the end of the Authority's investigation, it is not possible to exclude that the market share of the new entity may exceed 30% in the market for the supply of predominantly food products, and consequently, it is also not possible to exclude any risk of implementing a customer locking strategy.  </w:t>
        <w:br/>
        <w:t xml:space="preserve">286. In any case, the notifying party has submitted commitments to prevent this type of risk, analyzed below.  </w:t>
        <w:br/>
        <w:t xml:space="preserve">IV. The commitments  </w:t>
        <w:br/>
        <w:t xml:space="preserve">287. On April 22, 2020, GBH presented commitments aimed at addressing the serious doubts regarding harm to competition identified in the downstream markets of retail distribution of predominantly food products and book distribution, as well as in the upstream markets of supply. This commitment proposal was subject to a new market test with the competitors and suppliers of the parties. This proposal was last modified on May 19, 2020, to take into account, among other things, the results of the market test.  </w:t>
        <w:br/>
        <w:t xml:space="preserve">288. The Authority's guidelines on merger control provide that the identification of a buyer for the acquisition of divested assets as part of a structural commitment can occur before the Authority adopts its decision (prior resolution solution or "fix-it-first"). Depending on the progress of the realization of this divestiture, it may either be part of the notified elements, any reversal of which would then call into question the sincerity of the notification itself, or be explicitly subject to commitments as is the case here.  </w:t>
        <w:br/>
        <w:t>289. The commitments presented on April 22, 2020, and last modified on May 19, 2020, are those presented in the developments that follow. Their text, attached in the annex, is an integral part of this decision.</w:t>
      </w:r>
    </w:p>
    <w:p>
      <w:r>
        <w:rPr>
          <w:b/>
        </w:rPr>
        <w:t>[Pages 49–51]</w:t>
      </w:r>
    </w:p>
    <w:p>
      <w:r>
        <w:t xml:space="preserve">A. THE PROPOSED COMMITMENTS  </w:t>
        <w:br/>
        <w:t xml:space="preserve">1. Commitments related to the downstream market for the retail distribution of food-dominant products and the downstream market for the distribution of books  </w:t>
        <w:br/>
        <w:t xml:space="preserve">290. The commitments proposed by GBH consist of the transfer, concurrently with the operation, of the business assets of four hypermarkets and one GSS to Make Distribution, a company specially established for the operation, and two supermarkets to the Tak group. To this end, GBH signed a memorandum of understanding with the company Victor Bellier Participation (hereinafter "VBP"), co-controlling Make Distribution, on July 12, 2019, concerning four hypermarkets and one GSS. GBH also signed a purchase promise on February 18, 2020, with the Tak group concerning two supermarkets.  </w:t>
        <w:br/>
        <w:t xml:space="preserve">291. The proposed commitments concern the following stores:  </w:t>
        <w:br/>
        <w:t xml:space="preserve">Zone Brand Type Address of the point of sale  </w:t>
        <w:br/>
        <w:t xml:space="preserve">Sainte-Marie Jumbo Score Hypermarket Rond-Point du Parc, Sainte-Marie  </w:t>
        <w:br/>
        <w:t xml:space="preserve">Sainte-Clotilde Jumbo Score Hypermarket 42 avenue Joseph Bédier, Sainte-Clotilde  </w:t>
        <w:br/>
        <w:t xml:space="preserve">Saint-André Jumbo Score Hypermarket Centre commercial la Cocoteraie, Saint-André  </w:t>
        <w:br/>
        <w:t xml:space="preserve">Saint-Paul Jumbo Score Hypermarket Rue des Aéronets, Saint-Paul  </w:t>
        <w:br/>
        <w:t xml:space="preserve">Saint-Pierre Score Supermarket 5 rue de Cardamone - Ravines des Cabris, Saint-Pierre  </w:t>
        <w:br/>
        <w:t xml:space="preserve">Saint-Pierre Score Supermarket 21 rue de la Cayenne, Saint-Pierre  </w:t>
        <w:br/>
        <w:t xml:space="preserve">Large store Centre commercial la Cocoteraie, Saint-André Agora specialized Saint-André  </w:t>
        <w:br/>
        <w:t xml:space="preserve">292. GBH also commits for a period of ten years, starting from the transfer of the business assets mentioned above, not to acquire direct or indirect influence over all or part of the transferred hypermarkets and supermarkets.  </w:t>
        <w:br/>
        <w:t xml:space="preserve">293. GBH proposed, on the one hand, the company Make Distribution as the purchaser of the hypermarkets under the Jumbo Score brand and the GSS Agora, and on the other hand, the company Ah-Tak as the purchaser of the supermarkets under the Jumbo brand in its letter of commitments dated April 22, 2020, last modified on May 19, 2020.  </w:t>
        <w:br/>
        <w:t xml:space="preserve">294. The company Make Distribution is a simplified joint-stock company, wholly owned by BDM Co, which is jointly controlled by VBP (which is 100% owned by Société Adrien Bellier, hereinafter "SAB") and Aram Financial. It was specially established for the operation and will be active in the retail distribution sector with a food-dominant focus.  </w:t>
        <w:br/>
        <w:t xml:space="preserve">295. The notifying party emphasizes that, although Make Distribution is a new entrant in the food-dominant retail market, it and notably its shareholders possess all the necessary skills to effectively compete with GBH and other competitors in said market due, on the one hand, to the professional skills of the individuals managing Make Distribution and, on the other hand, to the partnership established with Genuine Products Corporation S.A.M (hereinafter "Geprocor"), a subsidiary of the Groupement des Mousquetaires.  </w:t>
        <w:br/>
        <w:t xml:space="preserve">296. The company Ah-Tak is a public limited company, wholly owned by the Thien Ah Koon consortium (hereinafter the "Tak group"). It is active in food-dominant retail distribution through the operation of 5 business assets on the island of La Réunion.  </w:t>
        <w:br/>
        <w:t xml:space="preserve">297. The notifying party argues that the Tak group has the financial resources and the appropriate skills to actively compete with GBH and other competitors in the food-dominant retail distribution market as the Tak group has significant professional experience in the large retail sector, due to its presence in La Réunion in this market for over 50 years.  </w:t>
        <w:br/>
        <w:t xml:space="preserve">2. Commitments related to the upstream  </w:t>
        <w:br/>
        <w:t xml:space="preserve">298. The commitments proposed by GBH in the upstream supply markets consist, for a duration of five years, of:  </w:t>
        <w:br/>
        <w:t xml:space="preserve">– maintaining the current level of supplies of its GSA from local production;  </w:t>
        <w:br/>
        <w:t xml:space="preserve">– establishing an internal mechanism to, on the one hand, identify co-contractors in a possible state of economic dependence and, on the other hand, assist them in exiting this state of dependence if they wish;  </w:t>
        <w:br/>
        <w:t xml:space="preserve">– providing a specific stipulation aimed at preventing risks of economic dependence for identified co-contractors who may be in a state of economic dependence with respect to GBH and who expressly request it in writing, allowing them to conclude a contract for a duration of two years.  </w:t>
        <w:br/>
        <w:t xml:space="preserve">299. The monitoring of these behavioral commitments will be ensured by a representative.  </w:t>
        <w:br/>
        <w:t xml:space="preserve">B. ASSESSMENT OF THE PROPOSED COMMITMENTS  </w:t>
        <w:br/>
        <w:t xml:space="preserve">1. Applicable principles  </w:t>
        <w:br/>
        <w:t xml:space="preserve">300. The measures intended to remedy the competition infringements resulting from the notified operation must comply with the general criteria defined by decision-making practice and case law in order to be deemed capable of ensuring sufficient competition, in accordance with the provisions of Article L. 430-7 of the Commercial Code.  </w:t>
        <w:br/>
        <w:t xml:space="preserve">301. As specified by the guidelines of the Authority regarding the control of concentrations, these measures must be effective in fully remedying the identified competition infringements. To this end, their implementation must not raise any doubts, which implies that they must be drafted in a sufficiently clear and precise manner, and that the operational modalities for their realization must be sufficiently detailed. Their implementation must be swift, as competition is not preserved until they are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  </w:t>
        <w:br/>
        <w:t xml:space="preserve">302. In order to remedy the competition infringements resulting from a concentration operation, the Authority generally seeks primarily structural measures, which aim to ensure competitive market structures through divestitures of activities or certain assets to an appropriate acquirer capable of exerting real competition, or the elimination of capital links between competitors. However, to satisfy the neutrality objective imposed on the Authority, behavioral remedies may appear more appropriate in the case at hand to compensate for certain competition infringements resulting from the operation, and it is also necessary to define such remedies in a way that ensures their effectiveness and controllability. It is particularly imperative that the effectiveness of the measures prescribed in this decision does not depend solely on the diligence and goodwill of the notifying party.  </w:t>
        <w:br/>
        <w:t xml:space="preserve">303. In the present case, the commitments undertaken comprise a set of structural and behavioral measures.  </w:t>
        <w:br/>
        <w:t xml:space="preserve">304. Furthermore, the Authority ensures that the remedies are proportionate. Consequently, the adopted measures must effectively remedy the identified competition infringements, imposing on the companies a burden strictly necessary to maintain or restore sufficient competition.  </w:t>
        <w:br/>
        <w:t xml:space="preserve">2. On the adequacy of the proposed measures  </w:t>
        <w:br/>
        <w:t xml:space="preserve">a) Commitments related to the horizontal effects on the retail distribution markets  </w:t>
        <w:br/>
        <w:t xml:space="preserve">(1) THE COMMITMENTS RELATED TO THE STORES UNDER THE JUMBO SCORE AND AGORA BRANDS  </w:t>
        <w:br/>
        <w:t xml:space="preserve">(a) The transfer of business assets  </w:t>
        <w:br/>
        <w:t xml:space="preserve">305. The commitments proposed by GBH consist of the transfer of four hypermarkets and one large specialized store linked to one of the hypermarkets. The points of sale concerned by the commitments are as follows:  </w:t>
        <w:br/>
        <w:t xml:space="preserve">Zone Brand Type Address of the point of sale  </w:t>
        <w:br/>
        <w:t xml:space="preserve">Sainte-Marie Jumbo Score Hypermarket Rond-Point du Parc, Sainte-Marie  </w:t>
        <w:br/>
        <w:t xml:space="preserve">Sainte-Clotilde Jumbo Score Hypermarket 42 avenue Joseph Bédier, Sainte-Clotilde  </w:t>
        <w:br/>
        <w:t xml:space="preserve">Saint-André Jumbo Score Hypermarket Centre commercial la Cocoteraie, Saint-André  </w:t>
        <w:br/>
        <w:t xml:space="preserve">Saint-Paul Jumbo Score Hypermarket Rue des Aéronets, Saint-Paul  </w:t>
        <w:br/>
        <w:t>306. In principle, such commitments are adequate in that they release the concerned points of sale from any link with GBH by allowing a competing brand to acquire the business assets. These transfers being concurrent with the realization of the operation, they allow for the restoration of sufficient competition in the concerned markets in a much shorter timeframe than in the case of divestiture commitments that would be realized after authorization.</w:t>
      </w:r>
    </w:p>
    <w:p>
      <w:r>
        <w:rPr>
          <w:b/>
        </w:rPr>
        <w:t>[Pages 52–54]</w:t>
      </w:r>
    </w:p>
    <w:p>
      <w:r>
        <w:t xml:space="preserve">307. The structural commitments proposed by the notifying party allow, on the one hand, to limit the market share of the new entity at the level of the island of La Réunion104 and, on the other hand, to eliminate the competition problems arising from the operation by allowing a significant reduction in the market share of the new entity in the affected areas either by removing overlaps in activity between the parties.  </w:t>
        <w:br/>
        <w:t xml:space="preserve">(i) On the markets for the retail distribution of predominantly food products  </w:t>
        <w:br/>
        <w:t xml:space="preserve">Market Share before Number  </w:t>
        <w:br/>
        <w:t xml:space="preserve">Market Share after divestiture  </w:t>
        <w:br/>
        <w:t xml:space="preserve">Zone  </w:t>
        <w:br/>
        <w:t xml:space="preserve">Competing Surface  </w:t>
        <w:br/>
        <w:t xml:space="preserve">Revenue Revenue Surface  </w:t>
        <w:br/>
        <w:t xml:space="preserve">Jumbo Score Sainte- [70-80] % [80-90] %  </w:t>
        <w:br/>
        <w:t xml:space="preserve">Clotilde [60-70] % [60-70] %  </w:t>
        <w:br/>
        <w:t xml:space="preserve">Jumbo Score Sainte- [80-90] % [70-80] %  </w:t>
        <w:br/>
        <w:t xml:space="preserve">Marie [60-70] % [50-60] %  </w:t>
        <w:br/>
        <w:t xml:space="preserve">Jumbo Score Saint- [80-90] % [70-90] % [50-60] % [40-50] % 3  </w:t>
        <w:br/>
        <w:t xml:space="preserve">Benoît [60-70] % [50-60] % [50-60] % [40-50] % 6  </w:t>
        <w:br/>
        <w:t xml:space="preserve">Jumbo Score Saint- [80-90] % [60-70] %  </w:t>
        <w:br/>
        <w:t xml:space="preserve">André [60-70] % [50-60] %  </w:t>
        <w:br/>
        <w:t xml:space="preserve">Score Saint-Denis  </w:t>
        <w:br/>
        <w:t xml:space="preserve">[60-70] % [50-60] % [50-60] % [40-50] % 7  </w:t>
        <w:br/>
        <w:t xml:space="preserve">(allée des Topazes)  </w:t>
        <w:br/>
        <w:t xml:space="preserve">Score Saint-Denis  </w:t>
        <w:br/>
        <w:t xml:space="preserve">[60-70] % [50-60] % [50-60] % [40-50] % 7  </w:t>
        <w:br/>
        <w:t xml:space="preserve">(boulevard Doret)  </w:t>
        <w:br/>
        <w:t xml:space="preserve">Score Sainte-Clotilde  </w:t>
        <w:br/>
        <w:t xml:space="preserve">[60-70] % [50-60] % [50-60] % [40-50] % 7  </w:t>
        <w:br/>
        <w:t xml:space="preserve">(rue du Bosquet)  </w:t>
        <w:br/>
        <w:t xml:space="preserve">Score Saint-Denis (rue  </w:t>
        <w:br/>
        <w:t xml:space="preserve">[60-70] % [50-60] % [50-60] % [40-50] % 7  </w:t>
        <w:br/>
        <w:t xml:space="preserve">Jean Chatel)  </w:t>
        <w:br/>
        <w:t xml:space="preserve">308. The Authority considers these commitments to be sufficient. First, the market share in surface area of the new entity is below 50% regardless of the catchment area considered. Second, when the market share is expressed in revenue, it is very slightly above 50%. Regarding the catchment area around the Jumbo Score of Saint-Benoît, this market share in revenue does not take into account either the revenue of the E.Leclerc store that is to open shortly in the area, nor the revenue of certain competitors who did not respond to the market test conducted by the Authority. This latter assertion also applies to the catchment areas around the Score stores of Saint-Denis and Sainte-Clotilde. In any case, across all these areas, the new entity will face competition from many other brands.  </w:t>
        <w:br/>
        <w:t xml:space="preserve">104 The market share of the new entity after divestiture is similar to that of the target at the level of the island of La Réunion in surface area.  </w:t>
        <w:br/>
        <w:t xml:space="preserve">(ii) On the markets for the retail distribution of books  </w:t>
        <w:br/>
        <w:t xml:space="preserve">Number of points of  </w:t>
        <w:br/>
        <w:t xml:space="preserve">Zone Market Share before divestiture Market Share after divestiture  </w:t>
        <w:br/>
        <w:t xml:space="preserve">sale competitors  </w:t>
        <w:br/>
        <w:t xml:space="preserve">FNAC Sainte-Marie [50-60] % [40-50] % 5  </w:t>
        <w:br/>
        <w:t xml:space="preserve">FNAC Saint-Benoît [90-100] % [80-90] % 3  </w:t>
        <w:br/>
        <w:t xml:space="preserve">Jumbo Score Sainte-  </w:t>
        <w:br/>
        <w:t xml:space="preserve">[50-60] % 0  </w:t>
        <w:br/>
        <w:t xml:space="preserve">Marie  </w:t>
        <w:br/>
        <w:t xml:space="preserve">Jumbo Score Saint-  </w:t>
        <w:br/>
        <w:t xml:space="preserve">[90-100] % [80-90] % 3  </w:t>
        <w:br/>
        <w:t xml:space="preserve">Benoît  </w:t>
        <w:br/>
        <w:t xml:space="preserve">Agora Saint-André [80-90] % 0  </w:t>
        <w:br/>
        <w:t xml:space="preserve">309. The Authority considers that the commitment to divest the Agora point of sale is sufficient to resolve the competition issues raised by the operation in the book market in the areas of the points of sale in Saint-Benoît. First, the market structure is specific, due to the legislative framework that imposes a single price for books. Furthermore, the commitment allows for diversification of the offer within the GSS. Indeed, before the operation, the two GSS in the area were held by the same entity, Vindémia. Following the operation and considering the commitment, the two GSS will be held by two different entities. Finally, the new entity will face another specialized competitor.  </w:t>
        <w:br/>
        <w:t xml:space="preserve">310. For 10 years, GBH will also not be able to take back the divested stores, nor acquire direct or indirect influence over them.  </w:t>
        <w:br/>
        <w:t xml:space="preserve">311. This commitment is likely to remove any doubt about harm to competition through horizontal effects on the markets for retail food distribution and books.  </w:t>
        <w:br/>
        <w:t xml:space="preserve">312. The assessment of the effectiveness of the divestiture commitment also requires analyzing the appropriateness of the choice of the acquirer as provided for in the letter of commitment and the protocol attached to it.  </w:t>
        <w:br/>
        <w:t xml:space="preserve">(b) The choice of Make Distribution  </w:t>
        <w:br/>
        <w:t xml:space="preserve">313. Make Distribution is an independent company, legally and commercially, from the notifying party. It was specifically established on August 14, 2019, to acquire the Jumbo stores mentioned above. Neither it nor its shareholders are currently active in food distribution, which ensures that the proposed remedy does not generate competition issues. Indeed, the commitment will not result in an addition of market shares in the food distribution market in hypermarkets benefiting Make Distribution or its shareholders.  </w:t>
        <w:br/>
        <w:t xml:space="preserve">314. The available financial data shows that Make Distribution has the necessary financial resources to operate the businesses subject to the commitment viably. Make Distribution has also unequivocally expressed its motivation by signing the Protocol of Agreement on July 12, 2019.  </w:t>
        <w:br/>
        <w:t xml:space="preserve">315. Third parties have expressed concerns regarding the competence and viability of Make Distribution. The concerns mainly focus on the fact that Make Distribution, as a new entrant in the market, may not have sufficient skills, that the business and financing plan may not be realistic given the characteristics of the market, and that Make Distribution may not be independent from GBH due to existing contractual ties between VBP, a minority shareholder of Make Distribution, and GBH.  </w:t>
        <w:br/>
        <w:t xml:space="preserve">316. The information gathered during the investigation allows for addressing these concerns. First, regarding the alleged lack of competence of Make Distribution in the predominantly food distribution market, it should be noted that, while Make Distribution is indeed a new entrant, the individuals who will manage Make Distribution possess the operational and local skills and knowledge to ensure the proper management of the new operator, as they have held various positions, including management, for several years with other retail brands in the predominantly food sector, including in La Réunion. Furthermore, Make Distribution has entered into a partnership agreement with Geprocor aimed at strengthening the development of Make Distribution in the Réunion market.  </w:t>
        <w:br/>
        <w:t xml:space="preserve">317. Second, regarding the existence of contractual ties between GBH and VBP, the parties indicated that these contractual ties are of two types. First, there has been a lease agreement since 2002 between SAB, the holding company of VBP, and GBH for a plot of land in Saint-Suzanne on which GBH has established a shopping center. This agreement does not contain clauses that would demonstrate an imbalance between the parties by allowing one of them to intervene in the affairs of the other.  </w:t>
        <w:br/>
        <w:t xml:space="preserve">318. Second, there is a supply contract [Confidential]. This contract is not likely to confer on either party any influence over their respective business strategies, particularly given the limited share that GBH represents, even after the operation, in the purchases [Confidential]. All of these elements are therefore not likely to undermine the independence of the acquirer from GBH.  </w:t>
        <w:br/>
        <w:t xml:space="preserve">319. Third, regarding the viability of the acquirer, it should first be recalled that it is not for the Authority to comment on the strategic and commercial choices of a company. Nevertheless, within the framework of approval procedures such as the one at issue in this case, the Authority must examine whether the remedy constituted by a divestiture is effective, by verifying whether the acquirer has the necessary skills and financial capacity to develop the activity105.  </w:t>
        <w:br/>
        <w:t xml:space="preserve">320. First, regarding the business plan presented by Make Distribution, which third parties contest as unrealistic, the Authority notes, after discussions with the parties and the organizations responsible for financing the operation, that while the business plan retains assumptions that can be considered optimistic, the structuring of the operation and financing takes into account possible contingencies. Thus, it appears that the lending banks have considered unfavorable assumptions for Make Distribution in order to analyze its ability to meet its debt. The information provided by the financial institutions also shows that the investments envisaged by Make are consistent with comparable investments in the predominantly food retail sector. Finally, several financial institutions believe that the supply model chosen by Make Distribution, which eliminates one level of intermediary in the value chain, should produce economic performances superior to those previously observed for the target hypermarkets.  </w:t>
        <w:br/>
        <w:t xml:space="preserve">321. Regarding the financing modalities, they are diverse and ensure both the acquisition of the target hypermarkets and the operational and investment needs. The lending institutions do not foresee any impossibility for Make Distribution to meet its deadlines, [Confidential]  </w:t>
        <w:br/>
        <w:t>105 See paragraph 586 of the Authority's guidelines.</w:t>
      </w:r>
    </w:p>
    <w:p>
      <w:r>
        <w:rPr>
          <w:b/>
        </w:rPr>
        <w:t>[Pages 55–57]</w:t>
      </w:r>
    </w:p>
    <w:p>
      <w:r>
        <w:t xml:space="preserve">322. These elements dispel doubts about Make Distribution's ability to develop in the retail markets primarily focused on food and books.  </w:t>
        <w:br/>
        <w:t xml:space="preserve">323. In light of all that has been stated above, the Authority considers that Make Distribution presents all the guarantees justifying its approval as the acquirer of the business assets mentioned above and that the commitments made by the notifying party within the framework of a prior resolution meet the criteria set out in paragraph 573 of the Authority's guidelines on merger control.  </w:t>
        <w:br/>
        <w:t xml:space="preserve">324. Indeed, the remedies undertaken allow for the maintenance of sufficient competition in the retail markets primarily focused on food and book distribution. Their implementation raises no doubts as the notifying party has committed to ensuring that the transfer agreements are signed upon the completion of the operation, so that by that date, all legally binding agreements necessary for the commitments will have been signed.  </w:t>
        <w:br/>
        <w:t xml:space="preserve">(2) THE COMMITMENT RELATING TO THE SALE OF SCORE SUPERMARKETS  </w:t>
        <w:br/>
        <w:t xml:space="preserve">(a) The sale of business assets  </w:t>
        <w:br/>
        <w:t xml:space="preserve">325. The commitments proposed by GBH consist of the sale of two supermarkets.  </w:t>
        <w:br/>
        <w:t xml:space="preserve">326. The points of sale concerned by the commitments are as follows:  </w:t>
        <w:br/>
        <w:t xml:space="preserve">Zone Brand Type Address of the point of sale  </w:t>
        <w:br/>
        <w:t xml:space="preserve">Saint-Pierre Score Supermarket 5 rue de Cardamone - Ravines des Cabris, Saint-Pierre  </w:t>
        <w:br/>
        <w:t xml:space="preserve">Saint-Pierre Score Supermarket 21 rue de la Cayenne, Saint-Pierre  </w:t>
        <w:br/>
        <w:t xml:space="preserve">327. In principle, such commitments are adequate as they release the points of sale concerned from any link to GBH by allowing a competing brand to acquire the business assets. These sales being concurrent with the completion of the operation, they allow for the restoration of sufficient competition in the relevant markets in a much shorter timeframe than in the case of divestiture commitments that would be executed after authorization.  </w:t>
        <w:br/>
        <w:t xml:space="preserve">328. The structural commitments proposed by the notifying party serve, on the one hand, to limit the market share of the new entity in the island of La Réunion106 and, on the other hand, to eliminate the competition issues arising from the operation by allowing a significant reduction of the new entity's market share to a level below 50% in the relevant areas, either by removing overlaps in activity between the parties.  </w:t>
        <w:br/>
        <w:t xml:space="preserve">106 The market share of the new entity after divestiture is similar to that of the target at the level of the island of La Réunion.  </w:t>
        <w:br/>
        <w:t xml:space="preserve">PDM before divestiture PDM after divestiture Number  </w:t>
        <w:br/>
        <w:t xml:space="preserve">Zone of brand  </w:t>
        <w:br/>
        <w:t xml:space="preserve">CA Surface CA Surface  </w:t>
        <w:br/>
        <w:t xml:space="preserve">competing  </w:t>
        <w:br/>
        <w:t xml:space="preserve">Score Saint-Pierre (rue de la [50-60] % [40-50] % 0  </w:t>
        <w:br/>
        <w:t xml:space="preserve">Cayenne)  </w:t>
        <w:br/>
        <w:t xml:space="preserve">Score Saint-Pierre (rue de la [60-70] % [50-60] % [40-50] % [40-50] % 6  </w:t>
        <w:br/>
        <w:t xml:space="preserve">Falaise)  </w:t>
        <w:br/>
        <w:t xml:space="preserve">329. For 10 years, GBH will also not be able to reacquire the divested stores, nor acquire a direct or indirect influence over them.  </w:t>
        <w:br/>
        <w:t xml:space="preserve">330. This commitment is likely to dispel any doubts about harm to competition through horizontal effects in the retail food distribution market.  </w:t>
        <w:br/>
        <w:t xml:space="preserve">331. The assessment of the effectiveness of the divestiture commitment also requires analyzing the appropriateness of the choice of the acquirer as provided in the letter of commitment and the purchase promise attached to it.  </w:t>
        <w:br/>
        <w:t xml:space="preserve">(b) The choice of Ah-Tak  </w:t>
        <w:br/>
        <w:t xml:space="preserve">332. The company Ah-Tak is an independent company, legally and commercially, from the notifying party. This company belongs to the Tak group, wholly owned by the Thien Ah Koon consortium. It is currently primarily active in the retail food distribution market, through five supermarkets operated under the Intermark brand and in the upstream supply market as well as in the tire market.  </w:t>
        <w:br/>
        <w:t xml:space="preserve">333. The proposed remedy does not generate any competition issues. The commitment results in a limited addition to the market share in the retail food distribution market.* Furthermore, Ah-Tak's market share in the upstream supply market is below [10-20]% regardless of the segmentation chosen. Ah-Tak, and the Tak group in general, is therefore not in a position to exert leverage between its various activities due to the implementation of the commitments.  </w:t>
        <w:br/>
        <w:t xml:space="preserve">334. Moreover, contrary to what some respondents to the market test argue, the available financial data shows that the Tak group has the financial resources required to operate the business assets subject to the commitment viably. Ah-Tak has also unequivocally expressed its motivation by signing a purchase promise on February 18, 2020.  </w:t>
        <w:br/>
        <w:t xml:space="preserve">335. These elements ensure that Ah-Tak will have the capacity to acquire the business assets mentioned in paragraph 326 above.  </w:t>
        <w:br/>
        <w:t xml:space="preserve">336. In light of all that has been stated above, the Authority considers that Ah-Tak presents all the guarantees justifying its approval as the acquirer of the business assets mentioned in paragraph 326 above and that the commitments made by the notifying party within the framework of a fix-it-first meet the criteria set out in paragraph 573 of the Authority's guidelines on merger control.  </w:t>
        <w:br/>
        <w:t xml:space="preserve">337. Indeed, the remedies undertaken allow for the maintenance of sufficient competition in the retail markets primarily focused on food. Their implementation raises no doubts as the notifying party has committed to ensuring that the transfer agreements are signed upon the completion of the operation, so that by that date, all legally binding agreements necessary for the commitment will have been signed.  </w:t>
        <w:br/>
        <w:t xml:space="preserve">***  </w:t>
        <w:br/>
        <w:t xml:space="preserve">338. The aforementioned study by the Bolonyocte firm notes that despite the structural commitments presented, the operation would lead to an increase in market concentration at the level of the island of La Réunion. It estimates that in terms of revenue, the cumulative market share of the two largest market players would rise from 53% to 64%-66% (p. 45-46 of the study), with GBH's share being 36% (p. 48 of the study). According to the study, the position thus acquired by the GBH group would allow it to reduce its costs and set selling prices so low that it could put its competitors in difficulty (p. 56-57). Furthermore, the presence of the various brands of the GBH group in the same commercial areas in the retail sector (hypermarkets and supermarkets, but also sports goods, DIY items, vehicle sales and rentals, etc.) would increase the attractiveness of these commercial areas and the flow of customers visiting them (p. 58 of the study), to the detriment of other commercial areas and the operators established there (an effect referred to as "black hole" in the study). Ultimately, the new entity could take advantage of the weakening of its competitors to raise its selling prices.  </w:t>
        <w:br/>
        <w:t xml:space="preserve">339. However, the pessimistic scenario highlighted in the study is not substantiated. It is thus not established that the GBH group would benefit from cost reductions to such an extent that it would then set selling prices so low that they would lead to the disappearance of its competitors. Assuming GBH's cost reductions compared to Vindémia are proven, an alternative scenario, where the operation (subject to the commitments presented here) would stimulate competition by benefiting the new entity from gains in competitiveness, is also conceivable. Moreover, it is also not specified how, in the event of the disappearance of the smallest competitors, the new entity would raise its prices while it would still face several competitors in the various catchment areas, and at the regional level, who would also benefit from the potential disappearance of third-party competitors' stores to increase their economies of scale. Regarding the effect on competition of the attractiveness of the commercial areas where GBH is established, assuming this attractiveness is real, it also benefits consumers. It is also not demonstrated that the GBH group would have an interest in neglecting other areas where it does not have hypermarkets or other retail brands. Finally, assuming that the GBH group neglects these areas, it is also not demonstrated that the other brands, independent of the GBH group, present in these areas, do not also allow for an increase in their attractiveness.  </w:t>
        <w:br/>
        <w:t xml:space="preserve">340. Therefore, the Authority considers that the commitments proposed by GBH are sufficient to dispel serious doubts about harm to competition in the retail markets primarily focused on food and books.  </w:t>
        <w:br/>
        <w:t xml:space="preserve">b) The commitments relating to effects on the upstream supply market  </w:t>
        <w:br/>
        <w:t xml:space="preserve">341. GBH commits to:  </w:t>
        <w:br/>
        <w:t xml:space="preserve">− maintain the current level of supplies of its GSA from local production;  </w:t>
        <w:br/>
        <w:t>− establish an internal mechanism to, on the one hand, identify co-contractors in a possible state of economic dependence and, on the other hand, assist them in exiting this state of dependence if they wish;</w:t>
      </w:r>
    </w:p>
    <w:p>
      <w:r>
        <w:rPr>
          <w:b/>
        </w:rPr>
        <w:t>[Pages 58–59]</w:t>
      </w:r>
    </w:p>
    <w:p>
      <w:r>
        <w:t xml:space="preserve">- provide a specific provision aimed at preventing negative effects for the identified contracting parties who may be in a state of economic dependence on GBH and who expressly request it in writing, allowing them in particular to enter into a contract for a duration of two years instead of an annual contract.  </w:t>
        <w:br/>
        <w:t xml:space="preserve">342. The monitoring of these behavioral commitments will be ensured by an independent representative.  </w:t>
        <w:br/>
        <w:t xml:space="preserve">343. These commitments are made for a duration of 5 years, renewable once.  </w:t>
        <w:br/>
        <w:t xml:space="preserve">344. As a preliminary point, the divestiture commitments made in the downstream food distribution market result in maintaining GBH's market share in the upstream market at a level equivalent to that held by Vindémia before the operation. These measures aim, on the one hand, to limit the effects of the operation on local producers. On the other hand, they allow for the organization of a mechanism for diversifying clients for local suppliers to limit their economic dependence on GBH.  </w:t>
        <w:br/>
        <w:t xml:space="preserve">345. Some respondents to the market test expressed concerns regarding the effectiveness of this series of behavioral commitments, described below, which led the Authority to request adjustments to the commitments submitted by GBH when necessary.  </w:t>
        <w:br/>
        <w:t xml:space="preserve">346. First, regarding the commitment to maintain the level of supply from local producers, this commitment excludes GBH's subsidiaries located on the island of La Réunion in order to take into account the integrated nature of the notifying party. Furthermore, to address the expressed concerns, this commitment applies unconditionally. These elements are intended to ensure the effectiveness of said commitment, the objective of which is to guarantee local SMEs a minimum access to the market of La Réunion, regardless of the other commitments made by GBH.  </w:t>
        <w:br/>
        <w:t xml:space="preserve">347. Moreover, concerning the mechanism for supporting economic dependence, this is a protective mechanism for all local suppliers present on the island of La Réunion. It guarantees both medium-term predictability of order levels due to the conclusion of longer contracts and the possibility of exiting dependence through the reallocation of revenue to other clients. The option given to the supplier to activate or not this mechanism allows for consideration of the specificity of certain businesses or sectors and guarantees contractual freedom.  </w:t>
        <w:br/>
        <w:t xml:space="preserve">348. Finally, the fact that these commitments are monitored by an independent representative of the notifying party is intended, on the one hand, to limit the exchange of information between the latter and its suppliers and, on the other hand, to evaluate and ensure the implementation of the commitment and its effectiveness.  </w:t>
        <w:br/>
        <w:t xml:space="preserve">349. Therefore, the Competition Authority considers that the commitments proposed by the notifying party are sufficient to eliminate the competition concerns arising from the operation.  </w:t>
        <w:br/>
        <w:t xml:space="preserve">DECIDES  </w:t>
        <w:br/>
        <w:t xml:space="preserve">Single Article: The operation notified under number 19-197 is authorized subject to the commitments described in paragraphs 287 to 349 above and attached to this decision.  </w:t>
        <w:br/>
        <w:t xml:space="preserve">The Chairwoman,  </w:t>
        <w:br/>
        <w:t xml:space="preserve">Isabelle de Silva  </w:t>
        <w:br/>
        <w:t xml:space="preserve">© Competition Authority  </w:t>
        <w:br/>
        <w:t>* Correction of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