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https://www.autoritedelaconcurrence.fr/fr/decision-de-controle-des-concentrations/relative-la-prise-de-controle-exclusif-de-la-societe-296</w:t>
      </w:r>
    </w:p>
    <w:p>
      <w:r>
        <w:t>Pages translated : 2</w:t>
      </w:r>
    </w:p>
    <w:p/>
    <w:p>
      <w:r>
        <w:rPr>
          <w:b/>
        </w:rPr>
        <w:t>[Pages 1–2]</w:t>
      </w:r>
    </w:p>
    <w:p>
      <w:r>
        <w:t xml:space="preserve">FRENCH REPUBLIC  </w:t>
        <w:br/>
        <w:t xml:space="preserve">Decision No. 20-DCC-73 of May 29, 2020  </w:t>
        <w:br/>
        <w:t xml:space="preserve">regarding the exclusive control acquisition of the company Autoroute de Liaison Seine-Sarthe by the company Diomedea Cooperatief  </w:t>
        <w:br/>
        <w:t xml:space="preserve">The Competition Authority,  </w:t>
        <w:br/>
        <w:t xml:space="preserve">Having regard to the complete notification file sent to the mergers department on May 4, 2020, concerning the exclusive control acquisition of the company Autoroute de Liaison Seine-Sarthe by the company Diomedea Cooperatief, formalized by a share transfer agreement dated February 17, 2020;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acquisition of exclusive control of the company Autoroute de Liaison Seine-Sarthe by the company Diomedea Cooperatief, controlled by the PGGM group. It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the markets for the awarding of toll highway concessions, the operation of toll highways, highway works, the awarding of related service sub-concessions, and the operation of services related to the operation of toll highways, which are consistently defined by decision-making practice.  </w:t>
        <w:br/>
        <w:t xml:space="preserve">3. Regardless of the segmentations retained, the combined market shares of the parties are below 25% or the addition of market shares does not exceed 2 points when their activities overlap in the same market. When the activities of the parties are situated in upstream or downstream markets, their combined market shares are below 30%.  </w:t>
        <w:br/>
        <w:t xml:space="preserve">4. Considering the elements of the file and in particular points 384 and 398 of the guidelines of the Competition Authority relating to the control of concentrations, the operation is not likely to harm competition.  </w:t>
        <w:br/>
        <w:t xml:space="preserve">DECIDES  </w:t>
        <w:br/>
        <w:t xml:space="preserve">Sole Article: The operation notified under number 20-044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