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https://www.autoritedelaconcurrence.fr/fr/decision-de-controle-des-concentrations/relative-la-prise-de-controle-exclusif-de-la-societe-298</w:t>
      </w:r>
    </w:p>
    <w:p>
      <w:r>
        <w:t>Pages translated : 9</w:t>
      </w:r>
    </w:p>
    <w:p/>
    <w:p>
      <w:r>
        <w:rPr>
          <w:b/>
        </w:rPr>
        <w:t>[Pages 1–3]</w:t>
      </w:r>
    </w:p>
    <w:p>
      <w:r>
        <w:t xml:space="preserve">FRENCH REPUBLIC  </w:t>
        <w:br/>
        <w:t xml:space="preserve">Decision No. 20-DCC-76 of June 18, 2020  </w:t>
        <w:br/>
        <w:t xml:space="preserve">regarding the exclusive control of the company Ménafinance by  </w:t>
        <w:br/>
        <w:t xml:space="preserve">Crédit Agricole Consumer Finance  </w:t>
        <w:br/>
        <w:t xml:space="preserve">The Competition Authority,  </w:t>
        <w:br/>
        <w:t xml:space="preserve">Having regard to the notification file submitted in full to the merger service on May 18, 2020,  </w:t>
        <w:br/>
        <w:t xml:space="preserve">regarding the exclusive control of the company Ménafinance by Crédit Agricole Consumer  </w:t>
        <w:br/>
        <w:t xml:space="preserve">Finance, formalized by a draft share purchase agreement dated April 24, 2020;  </w:t>
        <w:br/>
        <w:t xml:space="preserve">Having regard to Book IV of the Commercial Code relating to price and competition freedom, and  </w:t>
        <w:br/>
        <w:t xml:space="preserve">notably its Articles L. 430-1 to L. 430-7;  </w:t>
        <w:br/>
        <w:t>Adopts the following decision:</w:t>
      </w:r>
    </w:p>
    <w:p>
      <w:r>
        <w:t xml:space="preserve">Summary1  </w:t>
        <w:br/>
        <w:t xml:space="preserve">Under the terms of the decision below, the Authority examined the acquisition of exclusive control  </w:t>
        <w:br/>
        <w:t xml:space="preserve">of the company Ménafinance by the entity specialized in consumer credit of the Crédit Agricole  </w:t>
        <w:br/>
        <w:t xml:space="preserve">group, Crédit Agricole Consumer Finance (hereinafter "CACF"). Ménafinance offers consumer  </w:t>
        <w:br/>
        <w:t xml:space="preserve">loans, notably to customers of the Fnac-Darty brands. Prior to the operation, CACF exercised  </w:t>
        <w:br/>
        <w:t xml:space="preserve">joint control over Ménafinance. In this decision, the Authority relied on previous decision-making  </w:t>
        <w:br/>
        <w:t xml:space="preserve">practice2 and analyzed, for the study of horizontal effects, the different markets for consumer  </w:t>
        <w:br/>
        <w:t xml:space="preserve">credit and the issuance of payment cards. The Authority particularly noted that, regardless of  </w:t>
        <w:br/>
        <w:t xml:space="preserve">the segmentations considered, the market share of the new entity would remain below or close to  </w:t>
        <w:br/>
        <w:t xml:space="preserve">25% in these markets. The new entity will continue to face competition from numerous  </w:t>
        <w:br/>
        <w:t xml:space="preserve">comparable-sized players, including the BPCE groups (and its subsidiary Oney Bank), BNP  </w:t>
        <w:br/>
        <w:t xml:space="preserve">Paribas (Cetelem), or Crédit Mutuel (Cofidis).  </w:t>
        <w:br/>
        <w:t xml:space="preserve">In the context of the analysis of vertical effects, the Authority was led to study the markets for  </w:t>
        <w:br/>
        <w:t xml:space="preserve">the production and distribution of insurance products. The Crédit Agricole group is indeed active  </w:t>
        <w:br/>
        <w:t xml:space="preserve">in each of these markets, while CACF distributes insurance products, notably borrower insurance  </w:t>
        <w:br/>
        <w:t xml:space="preserve">on behalf of third parties. The Authority considered that the new entity would neither have the  </w:t>
        <w:br/>
        <w:t xml:space="preserve">capacity nor the incentives to implement mechanisms for locking in inputs or customers,  </w:t>
        <w:br/>
        <w:t xml:space="preserve">particularly due to the low market shares of the new entity for insurance products both upstream,  </w:t>
        <w:br/>
        <w:t xml:space="preserve">at the production stage, and downstream, at the distribution stage.  </w:t>
        <w:br/>
        <w:t xml:space="preserve">At the end of its competitive analysis, the Authority authorized the operation unconditionally.  </w:t>
        <w:br/>
        <w:t xml:space="preserve">1 This summary is strictly informative. Only the reasons for the decision numbered below are authoritative.  </w:t>
        <w:br/>
        <w:t xml:space="preserve">2 Previous decision-making practice has considered the segmentation of the consumer credit market into several distinct markets,  </w:t>
        <w:br/>
        <w:t xml:space="preserve">depending notably on the type of credit and their association with a universal payment card or one valid only in a limited network of stores.  </w:t>
        <w:br/>
        <w:t>It has also considered a segmentation of the payment card issuance market based on the different characteristics of the cards.</w:t>
      </w:r>
    </w:p>
    <w:p>
      <w:r>
        <w:t xml:space="preserve">I. The companies concerned and the operation  </w:t>
        <w:br/>
        <w:t xml:space="preserve">1. Crédit Agricole Consumer Finance (hereinafter "CACF") is a subsidiary of the Crédit Agricole  </w:t>
        <w:br/>
        <w:t xml:space="preserve">group, specialized in consumer credit activity. It offers financing, insurance, and service solutions.  </w:t>
        <w:br/>
        <w:t xml:space="preserve">The Crédit Agricole group consists of 39 regional banks and several subsidiaries. It is active in  </w:t>
        <w:br/>
        <w:t xml:space="preserve">the sectors of commercial banking, insurance, financing and investment banking, savings  </w:t>
        <w:br/>
        <w:t xml:space="preserve">management, and financial services.  </w:t>
        <w:br/>
        <w:t xml:space="preserve">2. The company Ménafinance is active in the field of consumer loans aimed at customers of the  </w:t>
        <w:br/>
        <w:t xml:space="preserve">Fnac-Darty brands. It is currently jointly controlled by CACF and the company Établissements  </w:t>
        <w:br/>
        <w:t xml:space="preserve">Darty et Fils. Its capital is currently equally divided between these two companies. Furthermore,  </w:t>
        <w:br/>
        <w:t xml:space="preserve">it is managed by a board of directors composed of four members, each of its shareholders  </w:t>
        <w:br/>
        <w:t xml:space="preserve">naming two.  </w:t>
        <w:br/>
        <w:t xml:space="preserve">3. Under the draft asset transfer protocol, CACF has committed to acquire all the shares held by  </w:t>
        <w:br/>
        <w:t xml:space="preserve">the company Établissements Darty et Fils in the capital of Ménafinance. As it results in the  </w:t>
        <w:br/>
        <w:t xml:space="preserve">exclusive control of the company Ménafinance by CACF, the notified operation constitutes a  </w:t>
        <w:br/>
        <w:t xml:space="preserve">concentration within the meaning of Article L. 430-1 of the Commercial Code.  </w:t>
        <w:br/>
        <w:t xml:space="preserve">4. The companies concerned together achieve a total worldwide turnover of more than 150 million  </w:t>
        <w:br/>
        <w:t xml:space="preserve">euros (Crédit Agricole: [≥150 million] euros for the fiscal year ending December 31, 2019;  </w:t>
        <w:br/>
        <w:t xml:space="preserve">Ménafinance: [≤150 million] euros for the fiscal year ending December 31, 2019). These  </w:t>
        <w:br/>
        <w:t xml:space="preserve">companies each achieve, in France, a turnover exceeding 50 million euros (Crédit Agricole:  </w:t>
        <w:br/>
        <w:t xml:space="preserve">[≥50 million] euros for the fiscal year ending December 31, 2019; Ménafinance: [≥50 million]  </w:t>
        <w:br/>
        <w:t xml:space="preserve">euros for the fiscal year ending December 31, 2019). Given these turnover figures, the operation  </w:t>
        <w:br/>
        <w:t xml:space="preserve">does not have a European dimension. On the other hand, the control thresholds mentioned in I of  </w:t>
        <w:br/>
        <w:t xml:space="preserve">Article L. 430-2 of the Commercial Code are exceeded. This operation is therefore subject to the  </w:t>
        <w:br/>
        <w:t xml:space="preserve">provisions of Articles L. 430-3 and following of the Commercial Code, relating to economic  </w:t>
        <w:br/>
        <w:t>concentration.</w:t>
      </w:r>
    </w:p>
    <w:p>
      <w:r>
        <w:t xml:space="preserve">II. Definition of the relevant markets  </w:t>
        <w:br/>
        <w:t xml:space="preserve">5. Three categories of services are traditionally distinguished by national and European decision-making  </w:t>
        <w:br/>
        <w:t xml:space="preserve">practice3 in the banking sector: banking services for individuals and households (retail banking),  </w:t>
        <w:br/>
        <w:t xml:space="preserve">banking services for businesses (commercial banking), and operations on financial markets (investment  </w:t>
        <w:br/>
        <w:t xml:space="preserve">and financing banking).  </w:t>
        <w:br/>
        <w:t xml:space="preserve">3 See notably letter C2006-45 from the Minister of Economy to the boards of the Caisse Nationale des Caisses d’Épargne and the Banque  </w:t>
        <w:br/>
        <w:t xml:space="preserve">Fédérale des Banques Populaires, the decisions of the Competition Authority No. 09-DCC-16 of June 22, 2009, regarding the merger between  </w:t>
        <w:br/>
        <w:t xml:space="preserve">the Caisse d’Épargne and Banque Populaire groups, No. 12-DCC-163 of November 29, 2012, regarding the exclusive control of the company  </w:t>
        <w:br/>
        <w:t xml:space="preserve">Natixis Financement by the BPCE group, the decisions of the European Commission M.5384 of December 3, 2008, BNP Paribas / Fortis,  </w:t>
        <w:br/>
        <w:t xml:space="preserve">M.5432 of February 24, 2009, Crédit Mutuel / Cofidis, and M.5222 of December 17, 2008, Sofinco / Banco Popolare / Ducato / Agos and  </w:t>
        <w:br/>
        <w:t>M.9366 of July 26, 2019, BPCE / Auchan / Oney Bank.</w:t>
      </w:r>
    </w:p>
    <w:p>
      <w:r>
        <w:rPr>
          <w:b/>
        </w:rPr>
        <w:t>[Pages 4–6]</w:t>
      </w:r>
    </w:p>
    <w:p>
      <w:r>
        <w:t>6. In the field of banking services, Ménafinance is solely active in the consumer credit market, which constitutes, according to decision-making practice, one of the markets of retail banking activity4. CACF is the specialized entity of the Crédit Agricole group in this market.</w:t>
      </w:r>
    </w:p>
    <w:p>
      <w:r>
        <w:t>7. The parties are also simultaneously active in the market for the issuance of payment cards, which is usually distinguished by decision-making practice from other activities related to payment cards, such as merchant affiliation and card payment processing5.</w:t>
      </w:r>
    </w:p>
    <w:p>
      <w:r>
        <w:t>8. Furthermore, the Crédit Agricole group is active in the production of insurance products, and Ménafinance notably distributes borrower insurance on behalf of third parties.</w:t>
      </w:r>
    </w:p>
    <w:p>
      <w:r>
        <w:t>A. THE PRODUCT MARKETS</w:t>
        <w:br/>
        <w:t>1. THE CONSUMER CREDIT MARKET</w:t>
        <w:br/>
        <w:t>9. The consumer credit market concerns loans intended for individuals to finance the acquisition of consumer goods.</w:t>
      </w:r>
    </w:p>
    <w:p>
      <w:r>
        <w:t>10. The practice of the European Commission (hereinafter "the Commission") has considered several segmentations of this market, while leaving the exact definition of the market6 open. The markets considered include (i) personal loans, which include loans granted directly by banks, as well as loans financed at the point of sale; (ii) revolving credit; and (iii) consumer credit allocated to the purchase of retail vehicles, distinct from consumer credit for the purchase of other goods.</w:t>
      </w:r>
    </w:p>
    <w:p>
      <w:r>
        <w:t>11. Regarding revolving credit, the Commission has considered distinguishing between revolving credit linked to a payment card and other forms of revolving credit. Finally, an additional subdivision may have been considered within revolving credit linked to a payment card between, on the one hand, credits based on universal payment cards and, on the other hand, those linked to payment cards valid only in a limited network of merchants.</w:t>
      </w:r>
    </w:p>
    <w:p>
      <w:r>
        <w:t>12. The Competition Authority (hereinafter "the Authority") distinguishes three markets within the consumer credit market: (i) credits allocated to the purchase of a specific good, (ii) personal credits (including revolving credits), and (iii) other forms of credits such as lease-purchase and rental with an option to buy7.</w:t>
      </w:r>
    </w:p>
    <w:p>
      <w:r>
        <w:t>13. Regarding personal credits, national decision-making practice has considered distinguishing between classic personal loans and revolving loans, offered by an authorized provider or a credit institution. A finer subdivision within revolving credits has also been considered by the Authority, similar to that of the Commission, between revolving credits linked to a universal payment card and those linked to a payment card valid only in a limited network of merchants.</w:t>
      </w:r>
    </w:p>
    <w:p>
      <w:r>
        <w:t>14. In this case, the activities of the parties overlap in the markets (i) of allocated credits and (ii) of personal credits, including the market for classic personal loans and the market for revolving loans, whether linked to a universal payment card or to a payment card valid only in a limited network of stores.</w:t>
      </w:r>
    </w:p>
    <w:p>
      <w:r>
        <w:t>15. The effects of the operation will be described on the overall consumer credit market, on the one hand, and on the markets distinguished in the previous point, it being understood that the exact delimitation of the market may remain open in this case, since the conclusions of the competitive analysis remain unchanged, regardless of the hypothesis retained.</w:t>
      </w:r>
    </w:p>
    <w:p>
      <w:r>
        <w:t>2. THE MARKET FOR THE ISSUANCE OF PAYMENT CARDS</w:t>
        <w:br/>
        <w:t>16. As previously stated, both European and national competition authorities consider that the issuance of payment cards constitutes a distinct product market.</w:t>
      </w:r>
    </w:p>
    <w:p>
      <w:r>
        <w:t>17. Within this market, the Commission has nevertheless considered a distinction8 between (i) immediate debit cards, and (ii) credit and deferred debit cards, with a potential distinction within this market between "universal" cards (or general, valid with all merchants using this payment method as well as at automatic withdrawal terminals) and so-called "specific" cards (or proprietary, valid only with certain merchants).</w:t>
      </w:r>
    </w:p>
    <w:p>
      <w:r>
        <w:t>18. The Commission has also considered other types of distinctions based on the type of cards (personal/professional, national/international), depending on the end users (individuals/SMEs/large companies) or the brand (Visa, MasterCard, etc.)9.</w:t>
      </w:r>
    </w:p>
    <w:p>
      <w:r>
        <w:t>19. However, the question of the exact delimitation of the payment card issuance market has been left open.</w:t>
      </w:r>
    </w:p>
    <w:p>
      <w:r>
        <w:t>20. The Crédit Agricole group and Ménafinance are simultaneously active in the markets for the issuance of personal cards, the issuance of universal cards (more specifically the sub-segment of "store" universal cards), the issuance of credit and deferred debit cards, and the issuance of Visa cards.</w:t>
      </w:r>
    </w:p>
    <w:p>
      <w:r>
        <w:t>21. Consequently, the analysis of the horizontal effects of the operation will be conducted on the overall market for the issuance of payment cards and on the markets where the activities of the parties overlap, it being understood that the exact delimitation of the market may remain open in this case, since the conclusions of the competitive analysis remain unchanged, regardless of the hypothesis retained.</w:t>
      </w:r>
    </w:p>
    <w:p>
      <w:r>
        <w:t>3. THE MARKETS FOR THE PRODUCTION AND DISTRIBUTION OF INSURANCE</w:t>
        <w:br/>
        <w:t>22. In the insurance sector, decision-making practice consistently distinguishes the upstream market for the production of insurance products from the downstream market for the distribution of insurance products10.</w:t>
      </w:r>
    </w:p>
    <w:p>
      <w:r>
        <w:t>23. Regarding the upstream market for production, the Authority distinguishes the markets for personal insurance, those for property insurance (goods and liabilities), and those for reinsurance, each of these markets being able to be segmented into as many markets as there are types of risks11.</w:t>
      </w:r>
    </w:p>
    <w:p>
      <w:r>
        <w:t>24. The downstream activity of insurance product distribution involves marketing and managing the administrative aspects of insurance guarantees or contracts where the risk is borne by third-party insurers12.</w:t>
      </w:r>
    </w:p>
    <w:p>
      <w:r>
        <w:t>25. The Authority has considered the existence of a global market for the distribution of insurance products by independent intermediaries, including all distribution channels (brokers, other intermediaries) except for direct distribution by insurance companies.</w:t>
      </w:r>
    </w:p>
    <w:p>
      <w:r>
        <w:t>26. The downstream distribution market can also be segmented based on the category of insured risks (property, personal) and according to the clientele (individuals or businesses).</w:t>
      </w:r>
    </w:p>
    <w:p>
      <w:r>
        <w:t>27. Decision-making practice has also distinguished a market for borrower insurance, taken out by an individual in connection with a mortgage or consumer credit to cover the occurrence of certain unforeseen events (death, loss of autonomy, loss of employment, etc.)13.</w:t>
      </w:r>
    </w:p>
    <w:p>
      <w:r>
        <w:t>28. In this case, only the Crédit Agricole group is present in the upstream market for insurance production, particularly for borrower insurance production. Ménafinance is solely active in the downstream market for the distribution of borrower insurance on behalf of third parties14. It should be noted that Ménafinance also distributes, on behalf of third parties and in a marginal way, other insurance products, such as health insurance products.</w:t>
      </w:r>
    </w:p>
    <w:p>
      <w:r>
        <w:t>29. The operation considered therefore does not entail any horizontal overlap between the activities of the parties. The delimitation of these different product markets may remain open, as the conclusions of the competitive analysis regarding the vertical effects of the operation remain unchanged, regardless of the segmentations retained.</w:t>
      </w:r>
    </w:p>
    <w:p>
      <w:r>
        <w:t>B. THE GEOGRAPHICAL DELIMITATION</w:t>
        <w:br/>
        <w:t>30. Competition authorities consider that the markets for retail banking and their segmentations are of national dimension15.</w:t>
      </w:r>
    </w:p>
    <w:p>
      <w:r>
        <w:t>31. National and European decision-making practice considers that the market for the issuance of payment cards and their segmentations are also of national dimension16.</w:t>
      </w:r>
    </w:p>
    <w:p>
      <w:r>
        <w:t>32. In terms of insurance, with the exception of coverage for certain large-scale risks not concerned here, the markets are of national dimension17.</w:t>
      </w:r>
    </w:p>
    <w:p>
      <w:r>
        <w:t>33. The competitive analysis on the markets for consumer credit, the issuance of payment cards, and insurance will therefore be conducted at the national level.</w:t>
      </w:r>
    </w:p>
    <w:p>
      <w:r>
        <w:rPr>
          <w:b/>
        </w:rPr>
        <w:t>[Pages 7–9]</w:t>
      </w:r>
    </w:p>
    <w:p>
      <w:r>
        <w:t xml:space="preserve">III. Competitive Analysis  </w:t>
        <w:br/>
        <w:t xml:space="preserve">A. ANALYSIS OF HORIZONTAL EFFECTS  </w:t>
        <w:br/>
        <w:t xml:space="preserve">1. HORIZONTAL EFFECTS OF THE OPERATION ON THE CONSUMER CREDIT MARKET  </w:t>
        <w:br/>
        <w:t xml:space="preserve">34. In this case, the acquirer and the target are simultaneously active in the markets for earmarked loans and personal loans (and any potential markets that comprise them, as previously described) or, in the case of a global market, in the consumer credit market.  </w:t>
        <w:br/>
        <w:t xml:space="preserve">35. Regardless of the assumption retained, the market share of the new entity will remain limited, and the addition of market shares will be less than 2 points. Indeed, according to the notifying party, the market share of the Crédit Agricole group is less than 25% and that of the target is 2%, across the various conceivable markets for consumer credit where there is an overlap of activity between the parties.  </w:t>
        <w:br/>
        <w:t xml:space="preserve">36. Furthermore, the Crédit Agricole group will continue to face competition from many comparably sized players, including the BPCE groups (and its subsidiary Oney Bank), BNP Paribas (Cetelem), or Crédit Mutuel (Cofidis).  </w:t>
        <w:br/>
        <w:t xml:space="preserve">37. It should finally be noted that the integration of Ménafinance's activities within CACF is already strong, as Ménafinance is already part of a portfolio of subsidiaries of CACF active in the field of consumer credit on behalf of various groups such as Fnac-Darty, La Redoute, or Le Printemps.  </w:t>
        <w:br/>
        <w:t xml:space="preserve">38. The operation is therefore not likely to harm competition through horizontal effects in the consumer credit sector.  </w:t>
        <w:br/>
        <w:t xml:space="preserve">2. HORIZONTAL EFFECTS OF THE OPERATION ON THE PAYMENT CARD ISSUANCE MARKET  </w:t>
        <w:br/>
        <w:t xml:space="preserve">39. Ménafinance only distributes universal personal credit cards known as "store cards." Its activity overlaps, in this respect, with that of Crédit Agricole in the potential markets of i) personal card issuance, ii) universal card issuance, iii) issuance of deferred credit and debit cards, and iv) issuance of Visa cards. In the case of a global market, the activities of the parties overlap in the overall market for payment card issuance.  </w:t>
        <w:br/>
        <w:t xml:space="preserve">40. In the overall market for payment card issuance and the potential markets for personal card issuance or universal card issuance, the notifying party estimates its market share to be approximately [20-30]% following the operation. However, the addition of market shares is less than 1 point. The market share of the new entity will therefore remain limited.  </w:t>
        <w:br/>
        <w:t xml:space="preserve">41. In the potential market for store payment cards, the only cards distributed by Ménafinance, the notifying party estimates that Ménafinance's market share is [10-20]%. Nevertheless, the market share of the new entity will remain limited, as it will be below 25% following the operation.  </w:t>
        <w:br/>
        <w:t xml:space="preserve">42. In the potential markets for the issuance of credit and deferred debit cards and for the issuance of Visa cards, the notifying party has not been able to accurately assess the market share of the Crédit Agricole group but estimates that that of Ménafinance cannot exceed 1%.  </w:t>
        <w:br/>
        <w:t xml:space="preserve">43. Furthermore, the new entity will continue to face competition from several large banking groups in the payment card issuance market, such as BPCE or BNP Paribas.  </w:t>
        <w:br/>
        <w:t xml:space="preserve">44. In conclusion, the operation is not likely to harm competition through horizontal effects in the payment card issuance sector.  </w:t>
        <w:br/>
        <w:t xml:space="preserve">B. ANALYSIS OF VERTICAL EFFECTS  </w:t>
        <w:br/>
        <w:t xml:space="preserve">45.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46. However, decision-making practice generally considers that a risk of vertical effect can be ruled out as long as the market share of the entity resulting from the operation in the relevant markets does not exceed 30%18.  </w:t>
        <w:br/>
        <w:t xml:space="preserve">47. The Crédit Agricole group is active at the stage of insurance production (and in particular borrower insurance), while Ménafinance distributes, among other things, borrower insurance on behalf of third parties. There is therefore a vertical relationship between the activities of the parties to the operation in the field of insurance.  </w:t>
        <w:br/>
        <w:t xml:space="preserve">48. Upstream, the notifying party has estimated that the market shares of the Crédit Agricole group are, for each of the insurance products that Ménafinance distributes (and thus in particular for borrower insurance), below 25%.  </w:t>
        <w:br/>
        <w:t xml:space="preserve">49. Downstream, the market shares of Ménafinance in the market for the distribution of borrower insurance on behalf of third parties, as well as in the distribution of other types of insurance, such as health insurance, are below 1%.  </w:t>
        <w:br/>
        <w:t xml:space="preserve">50. It follows from the above that the notified operation is not likely to harm competition through vertical effects in the insurance markets.  </w:t>
        <w:br/>
        <w:t>18 Guidelines of the Competition Authority regarding merger control, point 384.</w:t>
      </w:r>
    </w:p>
    <w:p>
      <w:r>
        <w:t xml:space="preserve">DECIDES  </w:t>
        <w:br/>
        <w:t xml:space="preserve">Sole Article: The operation notified under number 20-072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