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w:t>
      </w:r>
    </w:p>
    <w:p>
      <w:r>
        <w:t>Pages translated : 5</w:t>
      </w:r>
    </w:p>
    <w:p/>
    <w:p>
      <w:r>
        <w:rPr>
          <w:b/>
        </w:rPr>
        <w:t>[Pages 1–3]</w:t>
      </w:r>
    </w:p>
    <w:p>
      <w:r>
        <w:t xml:space="preserve">FRENCH REPUBLIC  </w:t>
        <w:br/>
        <w:t xml:space="preserve">Decision No. 09-DCC-69 of December 2, 2009  </w:t>
        <w:br/>
        <w:t xml:space="preserve">regarding the exclusive control of the company Sodilio SAS  </w:t>
        <w:br/>
        <w:t xml:space="preserve">by the company ITM Alimentaire Région Parisienne (ITM Entreprises Group)  </w:t>
        <w:br/>
        <w:t xml:space="preserve">The Competition Authority,  </w:t>
        <w:br/>
        <w:t xml:space="preserve">Having regard to the notification file submitted in full to the merger service on October 30, 2009, regarding the acquisition of the company Sodilio S.A. by the company ITM Alimentaire Région Parisienne, formalized by a memorandum of understanding signed on February 20, 2007;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ITM Entreprises, 100% controlled by the Société civile des Mousquetaires, itself held by 1,330 natural persons known as "associated members," leads and animates the network of independent merchants known as the "Groupement des Mousquetaires." As a franchisor, the company ITM Entreprises has as its main activity the animation of a network of sales outlets, both food and non-food, operated by independent merchants under the following brands: Intermarché, Ecomarché, Netto, Restaumarché, Bricomarché, Roady, and Vêti. This management is carried out notably through the signing and monitoring of membership and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referenced suppliers to the "Groupement des Mousquetaires." The company ITM Alimentaire Région Parisienne is a general partnership held at [&gt;50]% by the company ITM Alimentaire France, which is itself held by the company ITM Entreprises, and at [&lt;50]% by the company ITM Entreprises. The company ITM Entreprises has entrusted the company ITM Alimentaire Région Parisienne with the animation, development, and defense of the integrity of the franchise network operating under the food brands Intermarché, Ecomarché, and Netto, in the east of France. The company ITM Entreprises achieved a total turnover excluding taxes of [20-30] billion euros during the last fiscal year ending December 31, 2008, of which [15-25] billion was in France.  </w:t>
        <w:br/>
        <w:t xml:space="preserve">2. The company Sodilio S.A.S. (hereinafter "Sodilio") is a French law company whose exclusive purpose is the operation of a food-dominant store located in Villecresnes (94440) under the Intermarché brand. The company Sodilio is [majority] owned by Mr. Jacques Quenel, his spouse, and members of their family. Mr. Quenel is a signatory of the membership charter of the Groupement des Mousquetaires. The remainder of the capital of the company Sodilio is held by the company ITM Entreprises through one share, which does not confer any special rights to ITM Entreprises. Furthermore, the company Sodilio signed a brand contract on April 27, 1987, with ITM Entreprises, by which the use of the Intermarché brand is granted to it for the operation of its business. The total consolidated worldwide turnover excluding taxes achieved by Sodilio in 2008, the last closed fiscal year, amounts to 21.6 million euros exclusively in France.  </w:t>
        <w:br/>
        <w:t xml:space="preserve">3. ITM Alimentaire Région Parisienne committed, through a memorandum of understanding dated February 20, 2007, to acquire all the shares of the company Sodilio.  </w:t>
        <w:br/>
        <w:t xml:space="preserve">4. Insofar as it results in the exclusive control of the company Sodilio by the ITM Entreprises group, the notified operation constitutes a concentration within the meaning of Article L. 430-1 of the Commercial Code. Given the turnover figures of the concerned companies, it does not have a community dimension. On the other hand, the control thresholds mentioned in point 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THE CONCERNED MARKETS  </w:t>
        <w:br/>
        <w:t xml:space="preserve">5. The parties are simultaneously active in the food-dominant distribution sector in the Villecresnes (94440) region.  </w:t>
        <w:br/>
        <w:t xml:space="preserve">6. According to the constant practice of national and community competition authorities, two categories of markets can be delineated in the food-dominant distribution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the decision C.2005-98 Carrefour/Penny Market of November 10, 2005.  </w:t>
        <w:br/>
        <w:t xml:space="preserve">2  </w:t>
        <w:br/>
        <w:t xml:space="preserve">the supply of retail businesses with everyday consumer goods on a national scale.  </w:t>
        <w:br/>
        <w:t xml:space="preserve">1. DOWNSTREAM MARKETS OF DISTRIBUTION  </w:t>
        <w:br/>
        <w:t xml:space="preserve">7.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  </w:t>
        <w:br/>
        <w:t xml:space="preserve">8. Supermarkets are usually defined as food-dominant stores with a sales area of less than 2,500 m² and greater than 400 m². However, it should be noted that these thresholds should be used with caution and may be adapted to the specific case, considering that stores whose area is close to a threshold, either below or above, may be in direct competition in practice.  </w:t>
        <w:br/>
        <w:t xml:space="preserve">9. In this case, the acquired store currently occupies a sales area of 1,600 m². This store therefore falls into the category of supermarkets.  </w:t>
        <w:br/>
        <w:t xml:space="preserve">2. UPSTREAM SUPPLY MARKETS  </w:t>
        <w:br/>
        <w:t xml:space="preserve">10. Regarding the "upstream" supply markets, the Commission, in its decision M. 2115 Carrefour/GB of September 28, 2000, has already noted that these markets include "the sale of everyday consumer goods by producers to customers such as wholesalers, retailers, or other businesses (for example, cafes, hotels, restaurants). The Commission has accepted that it is a market allocation by product group that is generally considered the best." The decision-making practice of the Minister of Economy retains this definition.  </w:t>
        <w:br/>
        <w:t xml:space="preserve">11. There is no need, in the context of this decision, to detail more precisely the families of products concerned.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4 See in particular opinion No. 00-A-06 of the Council of May 3, 2000, regarding the acquisition by the company Carrefour of the company Promodès.  </w:t>
        <w:br/>
        <w:t xml:space="preserve">5 See in particular the decisions of the Commission M.1221 Rewe/Meinl of February 3, 1999, and M.1684 Carrefour/Promodès of January 25, 2000.  </w:t>
        <w:br/>
        <w:t xml:space="preserve">6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w:t>
        <w:br/>
        <w:t>3</w:t>
      </w:r>
    </w:p>
    <w:p>
      <w:r>
        <w:rPr>
          <w:b/>
        </w:rPr>
        <w:t>[Pages 4–5]</w:t>
      </w:r>
    </w:p>
    <w:p>
      <w:r>
        <w:t>B. GEOGRAPHICAL DELIMITATION OF MARKETS</w:t>
        <w:br/>
        <w:t>1. GEOGRAPHICAL DELIMITATION OF DOWNSTREAM DISTRIBUTION MARKETS</w:t>
        <w:br/>
        <w:t>12. In its recent decisions7 related to operations concerning hypermarkets or supermarkets, the Competition Authority has reiterated that two types of markets are usually distinguished, based on catchment areas:</w:t>
        <w:br/>
        <w:t>- a first market where the demand of consumers from an area meets the supply of hypermarkets they can access within less than 30 minutes by car and which are, from their perspective, substitutable with each other;</w:t>
        <w:br/>
        <w:t>- a second market where the demand of consumers, for each location, meets the supply of supermarkets and equivalent forms of commerce substitutable from the perspective of the concerned consumers, stores located within less than 15 minutes of travel time by car. These latter forms of commerce may include, in addition to supermarkets, hypermarkets located near consumers and discount stores.</w:t>
        <w:br/>
        <w:t>13. Other criteria may nevertheless be taken into account to assess the impact of a concentration on the competitive situation in retail distribution markets, which may lead to refining, in the specific case, the usual delimitations presented above.</w:t>
        <w:br/>
        <w:t>14. In the specific case, the store concerned by the operation occupying a sales area of less than 2,500 m² and falling into the category of supermarkets, the competitive analysis will only focus on the second market, namely the market including all hypermarkets, supermarkets, and discount stores located within a catchment area of 15 minutes around Villecresnes.</w:t>
        <w:br/>
        <w:t>2. GEOGRAPHICAL DELIMITATION OF UPSTREAM SUPPLY MARKETS</w:t>
        <w:br/>
        <w:t>15. Regarding supply markets, the European Commission8 has recognized the existence of national markets by major product groups, a delimitation followed by national authorities9.</w:t>
        <w:br/>
        <w:t>16. There is no need to challenge this delimitation in the context of the present operation.</w:t>
        <w:br/>
        <w:t>III. Competitive Analysis</w:t>
        <w:br/>
        <w:t>1. DOWNSTREAM MARKETS OF FOOD DISTRIBUTION</w:t>
        <w:br/>
        <w:t>7 Decisions 09-DCC-24 of July 23, 2009 Floritine/C.S.F; 09-DCC- of May 28, 2009 Frandis/Financière Perdis; 09-DCC-06 of May 20, 2009 Evolis/ITM; 09-DCC-04 of April 29, 2009 Carrefour/Noukat,</w:t>
        <w:br/>
        <w:t>8 See the decisions of the Commission M.1684 Carrefour/Promodès of January 25, 2000 and M. 2115 Carrefour/GB of September 28, 2000.</w:t>
        <w:br/>
        <w:t>9 See notably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17. In the downstream market of food distribution, including hypermarkets, supermarkets, and discount stores within a catchment area of 15 minutes by car around Villecresnes, the market share of stores operated under a brand belonging to the ITM Entreprises group will reach at most 23% after the operation, according to estimates provided by the parties calculated based on sales area, taking into account the decisions of the CDEC of Val-de-Marne, of November 8, 2007 and October 10, 2008, authorizing the creation of a sales area of 2,490 m² under the Intermarché brand in Limeil Brevannes and a sales area of 1,600 m² under the Atac brand in Perrigny sur Yerres. These two sales areas are not yet operational.</w:t>
        <w:br/>
        <w:t>18. Stores operated under a brand belonging to the ITM Entreprises group will face competition in this area from a Cora hypermarket (30% market share), from sales areas under brands of the Casino group (23% cumulative market shares), from sales areas under brands of the Carrefour group (15% cumulative market share), as well as from other competitors of smaller size.</w:t>
        <w:br/>
        <w:t>19. Therefore, the operation is not likely to harm competition in the market considered.</w:t>
        <w:br/>
        <w:t>2. UPSTREAM SUPPLY MARKETS</w:t>
        <w:br/>
        <w:t>20. Regarding upstream supply markets, the operation, limited to one store, is not likely to significantly strengthen the purchasing power of the ITM Entreprises group, across all products as well as by major product groups. The strengthening is all the more minor as, prior to the operation, the point of sale subject to the operation was already [majority] supplied through the supply subsidiaries of ITM Entreprises.</w:t>
        <w:br/>
        <w:t>DECIDES</w:t>
        <w:br/>
        <w:t>Sole Article: the operation notified under number 09-0113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