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https://www.autoritedelaconcurrence.fr/fr/decision-de-controle-des-concentrations/relative-la-prise-de-controle-exclusif-de-la-societe-300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20-DCC-87 of July 21, 2020  </w:t>
        <w:br/>
        <w:t xml:space="preserve">regarding the exclusive control acquisition of the company Eurofeu Invest by  </w:t>
        <w:br/>
        <w:t xml:space="preserve">the company Atalante  </w:t>
        <w:br/>
        <w:t xml:space="preserve">The Competition Authority,  </w:t>
        <w:br/>
        <w:t xml:space="preserve">Having regard to the complete notification file submitted to the mergers department on June 26, 2020,  </w:t>
        <w:br/>
        <w:t xml:space="preserve">concerning the exclusive control acquisition of the company Eurofeu Invest and its subsidiaries by the company  </w:t>
        <w:br/>
        <w:t xml:space="preserve">Atalante, formalized by a transfer protocol dated June 25, 2020;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Atalante of the company  </w:t>
        <w:br/>
        <w:t xml:space="preserve">Eurofeu Invest and its subsidiaries, primarily active in the fire safety sector.  </w:t>
        <w:br/>
        <w:t xml:space="preserve">The operation constitutes a concentration operation within the meaning of Article L. 430-1 of the Commercial Code.  </w:t>
        <w:br/>
        <w:t xml:space="preserve">Given the turnover achieved by the companies concerned, the operation does not fall under the jurisdiction of the European Union.  </w:t>
        <w:br/>
        <w:t xml:space="preserve">On the other hand, the control thresholds mentioned in point I of Article L. 430-2 of the Commercial Code are exceeded.  </w:t>
        <w:br/>
        <w:t xml:space="preserve">The present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20-047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