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https://www.autoritedelaconcurrence.fr/fr/decision-de-controle-des-concentrations/relative-la-prise-de-controle-exclusif-de-la-societe-301</w:t>
      </w:r>
    </w:p>
    <w:p>
      <w:r>
        <w:t>Pages translated : 2</w:t>
      </w:r>
    </w:p>
    <w:p/>
    <w:p>
      <w:r>
        <w:rPr>
          <w:b/>
        </w:rPr>
        <w:t>[Pages 1–2]</w:t>
      </w:r>
    </w:p>
    <w:p>
      <w:r>
        <w:t xml:space="preserve">FRENCH REPUBLIC  </w:t>
        <w:br/>
        <w:t xml:space="preserve">Decision No. 20-DCC-98 of July 30, 2020  </w:t>
        <w:br/>
        <w:t xml:space="preserve">regarding the exclusive control acquisition of the company Talpi by the company  </w:t>
        <w:br/>
        <w:t xml:space="preserve">ITM Entreprises  </w:t>
        <w:br/>
        <w:t xml:space="preserve">The Competition Authority,  </w:t>
        <w:br/>
        <w:t xml:space="preserve">Having regard to the complete notification file sent to the mergers department on July 8, 2020,  </w:t>
        <w:br/>
        <w:t xml:space="preserve">concerning the exclusive control acquisition of the company Talpi by the company ITM Entreprises,  </w:t>
        <w:br/>
        <w:t xml:space="preserve">formalized by a letter of intent dated June 10, 2020;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ITM Entreprises of  </w:t>
        <w:br/>
        <w:t xml:space="preserve">the company Talpi, which operates a predominantly food-oriented business of the supermarket type with a surface area of 2,400 m² under the Intermarché brand, located in Châtellerault (86). It constitutes a concentration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20-121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