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https://www.autoritedelaconcurrence.fr/fr/decision-de-controle-des-concentrations/relative-la-prise-de-controle-exclusif-de-la-societe-302</w:t>
      </w:r>
    </w:p>
    <w:p>
      <w:r>
        <w:t>Pages translated : 2</w:t>
      </w:r>
    </w:p>
    <w:p/>
    <w:p>
      <w:r>
        <w:rPr>
          <w:b/>
        </w:rPr>
        <w:t>[Pages 1–2]</w:t>
      </w:r>
    </w:p>
    <w:p>
      <w:r>
        <w:t>FRENCH REPUBLIC</w:t>
        <w:br/>
        <w:t>Decision No. 20-DCC-100 of August 10, 2020</w:t>
        <w:br/>
        <w:t>regarding the exclusive control acquisition of the company Sodifrance by the</w:t>
        <w:br/>
        <w:t>company Sopra Steria Group</w:t>
        <w:br/>
        <w:t>The Competition Authority,</w:t>
        <w:br/>
        <w:t>Having regard to the complete notification file submitted to the mergers department on July 21, 2020,</w:t>
        <w:br/>
        <w:t>concerning the exclusive control acquisition by the company Sopra Steria Group of the company Sodifrance,</w:t>
        <w:br/>
        <w:t>materialized by a share transfer agreement dated July 9, 2020;</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company Sopra Steria Group</w:t>
        <w:br/>
        <w:t>of the company Sodifrance, active in the provision of development, installation, and maintenance services</w:t>
        <w:br/>
        <w:t>of IT systems for large companies.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20-099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