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https://www.autoritedelaconcurrence.fr/fr/decision-de-controle-des-concentrations/relative-la-prise-de-controle-exclusif-de-la-societe-303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Letter No. 20-DCC-103 of August 7, 2020, to the legal representatives of the company  </w:t>
        <w:br/>
        <w:t xml:space="preserve">Française des jeux regarding the exclusive control acquisition of the  </w:t>
        <w:br/>
        <w:t>company Bimedia Finance</w:t>
      </w:r>
    </w:p>
    <w:p>
      <w:r>
        <w:t>Counsel,</w:t>
      </w:r>
    </w:p>
    <w:p>
      <w:r>
        <w:t xml:space="preserve">You submitted to the Competition Authority on March 9, 2020, a notification file  </w:t>
        <w:br/>
        <w:t xml:space="preserve">concerning the exclusive control acquisition by the company Française des jeux (hereinafter "FDJ") of the  </w:t>
        <w:br/>
        <w:t xml:space="preserve">company Bimedia Finance, formalized by a transfer contract dated November 8, 2019.  </w:t>
        <w:br/>
        <w:t>This file being complete, its receipt was acknowledged to you on March 9, 2020.</w:t>
      </w:r>
    </w:p>
    <w:p>
      <w:r>
        <w:t xml:space="preserve">As part of the examination of the file, the Authority considered that there was a serious doubt  </w:t>
        <w:br/>
        <w:t>of harm to competition resulting from the operation.</w:t>
      </w:r>
    </w:p>
    <w:p>
      <w:r>
        <w:t xml:space="preserve">FDJ submitted a proposal of commitments on April 9, 2020, aimed at addressing the issues  </w:t>
        <w:br/>
        <w:t xml:space="preserve">identified. This proposal was modified on May 8, 2020, in order to address certain  </w:t>
        <w:br/>
        <w:t xml:space="preserve">insufficiencies of the proposal of commitments identified during the examination. This  </w:t>
        <w:br/>
        <w:t xml:space="preserve">new proposal was subject to a market test. The respondents to the market test  </w:t>
        <w:br/>
        <w:t xml:space="preserve">mostly indicated that the proposal of commitments of May 8, 2020, did not remedy the  </w:t>
        <w:br/>
        <w:t>identified competition issues.</w:t>
      </w:r>
    </w:p>
    <w:p>
      <w:r>
        <w:t xml:space="preserve">By a letter addressed to the Authority dated July 31, 2020, FDJ withdrew the proposal  </w:t>
        <w:br/>
        <w:t xml:space="preserve">of commitments, [confidential]. In this regard, FDJ cites the proposal of commitments of May 8, 2020  </w:t>
        <w:br/>
        <w:t xml:space="preserve">in its point 3, which specifies that “[i]f the Operation were to be abandoned for any  </w:t>
        <w:br/>
        <w:t xml:space="preserve">reason, the Commitments would automatically become void and would not have to be  </w:t>
        <w:br/>
        <w:t xml:space="preserve">implemented.” The withdrawal of the proposal of commitments, which implies the absence of remedies  </w:t>
        <w:br/>
        <w:t xml:space="preserve">to the concerns identified during the examination, and the fact that FDJ justifies this withdrawal  </w:t>
        <w:br/>
        <w:t xml:space="preserve">by a finding of voidness of the proposal of commitments due to the abandonment of  </w:t>
        <w:br/>
        <w:t xml:space="preserve">the operation demonstrate FDJ's intention not to proceed with the operation, even in the absence of  </w:t>
        <w:br/>
        <w:t>a formal withdrawal of the notification.</w:t>
      </w:r>
    </w:p>
    <w:p>
      <w:r>
        <w:t xml:space="preserve">Under the first paragraph of Article L.430-3 of the Commercial Code, the concentration operation  </w:t>
        <w:br/>
        <w:t xml:space="preserve">must be notified to the Competition Authority before its realization. The  </w:t>
        <w:br/>
        <w:t xml:space="preserve">notification may occur as soon as the party or parties concerned are able to present  </w:t>
        <w:br/>
        <w:t xml:space="preserve">a sufficiently advanced project to allow for the examination of the file and in particular when they  </w:t>
        <w:br/>
        <w:t xml:space="preserve">have concluded a principle agreement, signed a letter of intent, or upon the announcement of a  </w:t>
        <w:br/>
        <w:t xml:space="preserve">public offer. FDJ is no longer able to present to the Authority a sufficiently advanced project.  </w:t>
        <w:br/>
        <w:t xml:space="preserve">Due to the clearly expressed intention of FDJ not to acquire control of Bimedia  </w:t>
        <w:br/>
        <w:t xml:space="preserve">Finance, this operation cannot therefore constitute a concentration operation under  </w:t>
        <w:br/>
        <w:t>L.430-1.</w:t>
      </w:r>
    </w:p>
    <w:p>
      <w:r>
        <w:t xml:space="preserve">In light of the above elements and in particular, the acquirer's renunciation to implement  </w:t>
        <w:br/>
        <w:t xml:space="preserve">the operation, I hereby inform you that the operation notified on March 9, 2020, and  </w:t>
        <w:br/>
        <w:t xml:space="preserve">abandoned since, is consequently no longer subject to the concentration control provided  </w:t>
        <w:br/>
        <w:t xml:space="preserve">for in Articles L. 430-3 and following of the Commercial Code. In the absence of an intention to carry out  </w:t>
        <w:br/>
        <w:t xml:space="preserve">this concentration operation and a fortiori in the absence of a sufficiently advanced project, the  </w:t>
        <w:br/>
        <w:t>notification file is closed.</w:t>
      </w:r>
    </w:p>
    <w:p>
      <w:r>
        <w:t xml:space="preserve">In the event that FDJ wishes to again acquire control of the company  </w:t>
        <w:br/>
        <w:t>Bimedia Finance, it will be necessary for it to notify this operation again to the Authority.</w:t>
      </w:r>
    </w:p>
    <w:p>
      <w:r>
        <w:t xml:space="preserve">The Vice-President,  </w:t>
        <w:br/>
        <w:t xml:space="preserve">Henri Piffaut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