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https://www.autoritedelaconcurrence.fr/fr/decision-de-controle-des-concentrations/relative-la-prise-de-controle-exclusif-de-la-societe-304</w:t>
      </w:r>
    </w:p>
    <w:p>
      <w:r>
        <w:t>Pages translated : 2</w:t>
      </w:r>
    </w:p>
    <w:p/>
    <w:p>
      <w:r>
        <w:rPr>
          <w:b/>
        </w:rPr>
        <w:t>[Pages 1–2]</w:t>
      </w:r>
    </w:p>
    <w:p>
      <w:r>
        <w:t xml:space="preserve">FRENCH REPUBLIC  </w:t>
        <w:br/>
        <w:t xml:space="preserve">Decision No. 20-DCC-104 of August 20, 2020  </w:t>
        <w:br/>
        <w:t xml:space="preserve">regarding the exclusive control acquisition of the company Garage Veyrunes  </w:t>
        <w:br/>
        <w:t xml:space="preserve">by the Maurin group  </w:t>
        <w:br/>
        <w:t xml:space="preserve">The Competition Authority,  </w:t>
        <w:br/>
        <w:t xml:space="preserve">Having regard to the complete notification file sent to the mergers department on August 5, 2020,  </w:t>
        <w:br/>
        <w:t xml:space="preserve">concerning the exclusive control acquisition of the company Garages Veyrunes by the Maurin group,  </w:t>
        <w:br/>
        <w:t xml:space="preserve">formalized by a share transfer agreement dated June 11, 2020;  </w:t>
        <w:br/>
        <w:t xml:space="preserve">Having regard to Book IV of the Commercial Code relating to the freedom of prices and competition, and  </w:t>
        <w:br/>
        <w:t xml:space="preserve">notably its Articles L. 430-1 to L. 430-7;  </w:t>
        <w:br/>
        <w:t xml:space="preserve">Having regard to the additional elements submitted by the notifying party during the investigation;  </w:t>
        <w:br/>
        <w:t xml:space="preserve">Adopts the following decision:  </w:t>
        <w:br/>
        <w:t xml:space="preserve">1. The notified operation consists of the exclusive control acquisition by the Maurin Group, active in  </w:t>
        <w:br/>
        <w:t xml:space="preserve">the automotive distribution sector in France, Belgium, and Switzerland, of the company Garage  </w:t>
        <w:br/>
        <w:t xml:space="preserve">Veyrunes, which operates as a car dealership under the Toyota brand in Nîmes (30) and Méjannes-les-Alès (30).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20-123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