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https://www.autoritedelaconcurrence.fr/fr/decision-de-controle-des-concentrations/relative-la-prise-de-controle-exclusif-de-la-societe-305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20-DCC-113 of August 27, 2020  </w:t>
        <w:br/>
        <w:t xml:space="preserve">regarding the exclusive control acquisition of the company Cajephi by the  </w:t>
        <w:br/>
        <w:t xml:space="preserve">company ITM Entreprises  </w:t>
        <w:br/>
        <w:t xml:space="preserve">The Competition Authority,  </w:t>
        <w:br/>
        <w:t xml:space="preserve">Having regard to the complete notification file sent to the mergers department on August 6, 2020,  </w:t>
        <w:br/>
        <w:t xml:space="preserve">concerning the exclusive control acquisition of the company Cajephi by the company ITM Entreprises,  </w:t>
        <w:br/>
        <w:t xml:space="preserve">formalized by a unilateral purchase promise dated December 29, 2000;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Entreprises of  </w:t>
        <w:br/>
        <w:t xml:space="preserve">the company Cajephi, which operates a food-dominant retail outlet of the type  </w:t>
        <w:br/>
        <w:t xml:space="preserve">hypermarket under the Intermarché brand, with a surface area of 4,397 m² and located in Villemagne  </w:t>
        <w:br/>
        <w:t xml:space="preserve">l’Argentière (34). It constitutes a concentration operation within the meaning of Article L. 430-1 of the  </w:t>
        <w:br/>
        <w:t xml:space="preserve">Commercial Code. Given the turnover generated by the companies concerned, the operation does not fall  </w:t>
        <w:br/>
        <w:t xml:space="preserve">under the jurisdiction of the European Union. However, the control thresholds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20-152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