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https://www.autoritedelaconcurrence.fr/fr/decision-de-controle-des-concentrations/relative-la-prise-de-controle-exclusif-de-la-societe-306</w:t>
      </w:r>
    </w:p>
    <w:p>
      <w:r>
        <w:t>Pages translated : 2</w:t>
      </w:r>
    </w:p>
    <w:p/>
    <w:p>
      <w:r>
        <w:rPr>
          <w:b/>
        </w:rPr>
        <w:t>[Pages 1–2]</w:t>
      </w:r>
    </w:p>
    <w:p>
      <w:r>
        <w:t xml:space="preserve">FRENCH REPUBLIC  </w:t>
        <w:br/>
        <w:t xml:space="preserve">Decision No. 20-DCC-125 of September 21, 2020  </w:t>
        <w:br/>
        <w:t xml:space="preserve">regarding the exclusive control acquisition of Lagardère Studios  </w:t>
        <w:br/>
        <w:t xml:space="preserve">by Mediawan  </w:t>
        <w:br/>
        <w:t xml:space="preserve">The Competition Authority,  </w:t>
        <w:br/>
        <w:t xml:space="preserve">Having regard to the complete notification file submitted to the mergers department on August 21, 2020  </w:t>
        <w:br/>
        <w:t xml:space="preserve">concerning the exclusive control acquisition of Lagardère Studios by Mediawan,  </w:t>
        <w:br/>
        <w:t xml:space="preserve">formalized by a share purchase agreement dated August 6,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Mediawan of  </w:t>
        <w:br/>
        <w:t xml:space="preserve">Lagardère Studios, active in the markets for broadcasting rights of audiovisual content. It constitutes a concentration operation within the meaning of Article L. 430-1 of the Commercial Code. Given the revenues generated by the companies involved,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The competitive analysis of this operation took into account the effects of the concentration operation concerning the joint control acquisition of Mediawan by the Troisième Œil group, Les Nouvelles Éditions Indépendantes, and NJJ Presse (notified under number 20-101 and subject to the authorization decision No. 20-DCC-124 of September 21, 2020).</w:t>
      </w:r>
    </w:p>
    <w:p>
      <w:r>
        <w:t xml:space="preserve">DECIDES  </w:t>
        <w:br/>
        <w:t xml:space="preserve">Sole Article: The operation notified under number 20-104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