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https://www.autoritedelaconcurrence.fr/fr/decision-de-controle-des-concentrations/relative-la-prise-de-controle-exclusif-de-la-societe-308</w:t>
      </w:r>
    </w:p>
    <w:p>
      <w:r>
        <w:t>Pages translated : 2</w:t>
      </w:r>
    </w:p>
    <w:p/>
    <w:p>
      <w:r>
        <w:rPr>
          <w:b/>
        </w:rPr>
        <w:t>[Pages 1–2]</w:t>
      </w:r>
    </w:p>
    <w:p>
      <w:r>
        <w:t xml:space="preserve">FRENCH REPUBLIC  </w:t>
        <w:br/>
        <w:t xml:space="preserve">Decision No. 20-DCC-144 of October 16, 2020  </w:t>
        <w:br/>
        <w:t xml:space="preserve">regarding the exclusive control acquisition of the company Defrance Automobiles by the company Lamirault Schumacher Distribution  </w:t>
        <w:br/>
        <w:t xml:space="preserve">The Competition Authority,  </w:t>
        <w:br/>
        <w:t xml:space="preserve">Having regard to the complete notification file submitted to the mergers department on September 23, 2020, concerning the exclusive control acquisition of the company Defrance Automobiles by the company Lamirault Schumacher Distribution, formalized by a share transfer agreement dated June 8, 2020;  </w:t>
        <w:br/>
        <w:t xml:space="preserve">Having regard to Book IV of the Commercial Code relating to the freedom of prices and competition, and in particular its Articles L. 430-1 to L. 430-7;  </w:t>
        <w:br/>
        <w:t xml:space="preserve">Having regard to the elements provided by the notifying party during the investigation;  </w:t>
        <w:br/>
        <w:t xml:space="preserve">Adopts the following decision:  </w:t>
        <w:br/>
        <w:t xml:space="preserve">1. The notified operation consists of the exclusive control acquisition by the company Lamirault Schumacher Distribution, active in the automobile distribution sector, of the company Defrance Automobile, which operates as a car dealership under the Volvo brand in Cesson-Sévigné (35) and Laval (53).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20-139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