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https://www.autoritedelaconcurrence.fr/fr/decision-de-controle-des-concentrations/relative-la-prise-de-controle-exclusif-de-la-societe-31</w:t>
      </w:r>
    </w:p>
    <w:p>
      <w:r>
        <w:t>Pages translated : 4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11-DCC-123 of August 18, 2011  </w:t>
        <w:br/>
        <w:t xml:space="preserve">regarding the exclusive control of the company Proservia by  </w:t>
        <w:br/>
        <w:t xml:space="preserve">Manpower France Holding  </w:t>
        <w:br/>
        <w:t xml:space="preserve">The Competition Authority,  </w:t>
        <w:br/>
        <w:t xml:space="preserve">Having regard to the notification file submitted in full to the merger service on July 15, 2011,  </w:t>
        <w:br/>
        <w:t xml:space="preserve">regarding the exclusive control by the Manpower group of the company Proservia,  </w:t>
        <w:br/>
        <w:t xml:space="preserve">formalized by a memorandum of understanding signed on July 21, 2011;  </w:t>
        <w:br/>
        <w:t xml:space="preserve">Having regard to Book IV of the Commercial Code relating to the freedom of prices and competition, and  </w:t>
        <w:br/>
        <w:t xml:space="preserve">notably its Articles L. 430-1 to L. 430-10;  </w:t>
        <w:br/>
        <w:t xml:space="preserve">Having regard to the supplementary elements transmitted by the parties during the investigation;  </w:t>
        <w:br/>
        <w:t xml:space="preserve">Adopts the following decision:  </w:t>
        <w:br/>
        <w:t xml:space="preserve">I. The companies concerned and the operation  </w:t>
        <w:br/>
        <w:t xml:space="preserve">1. The company Manpower France Holding SAS is controlled by the company Manpower Europe  </w:t>
        <w:br/>
        <w:t xml:space="preserve">Holdings APS, which is itself controlled by the company Manpower Inc., which is the parent company  </w:t>
        <w:br/>
        <w:t xml:space="preserve">of the American Manpower group. The Manpower group is active in the employment services sector  </w:t>
        <w:br/>
        <w:t xml:space="preserve">(permanent or temporary personnel recruitment, skills assessment, vocational training, outplacement,  </w:t>
        <w:br/>
        <w:t xml:space="preserve">outsourcing, and consulting), as well as in the IT services sector, notably in France through the company  </w:t>
        <w:br/>
        <w:t xml:space="preserve">Elan IT Resource.  </w:t>
        <w:br/>
        <w:t xml:space="preserve">2. The company Proservia SA, whose shares are listed on the Alternext market of NYSE-Euronext Paris,  </w:t>
        <w:br/>
        <w:t xml:space="preserve">is the holding company of the Proservia group. It is controlled by the company FIPAMA, which is itself  </w:t>
        <w:br/>
        <w:t xml:space="preserve">controlled by Mr. and Mrs. Congard. Proservia controls the companies Ovialis and Finatel, the latter  </w:t>
        <w:br/>
        <w:t xml:space="preserve">controlling the company Netlevel. The Proservia group is active in the IT engineering services sector  </w:t>
        <w:br/>
        <w:t>(SSII), primarily in France.</w:t>
      </w:r>
    </w:p>
    <w:p>
      <w:r>
        <w:t xml:space="preserve">3. Under the terms of the memorandum of understanding signed on July 21, 2011, between Manpower  </w:t>
        <w:br/>
        <w:t xml:space="preserve">Holding France, on the one hand, and various shareholders of the company Proservia1, on the other hand,  </w:t>
        <w:br/>
        <w:t xml:space="preserve">Manpower Holding France is to acquire 69.64% of the share capital and 68.03% of the voting rights of the  </w:t>
        <w:br/>
        <w:t xml:space="preserve">company Proservia, which allows it to solely appoint the members and the chairman of the board of  </w:t>
        <w:br/>
        <w:t xml:space="preserve">directors and to hold the 2/3 majority necessary for statutory amendments in an extraordinary general  </w:t>
        <w:br/>
        <w:t xml:space="preserve">meeting. Consequently, the present operation constitutes a concentration within the meaning of Article  </w:t>
        <w:br/>
        <w:t xml:space="preserve">L. 430-1 of the Commercial Code.  </w:t>
        <w:br/>
        <w:t xml:space="preserve">4. The companies concerned together achieve a total worldwide turnover of more than 150 million euros  </w:t>
        <w:br/>
        <w:t xml:space="preserve">(Manpower Group: 14.21 billion euros for the fiscal year ending December 31, 2010; Proservia Group:  </w:t>
        <w:br/>
        <w:t xml:space="preserve">51.89 million euros for the same fiscal year). The Manpower group and the Proservia group each achieve,  </w:t>
        <w:br/>
        <w:t xml:space="preserve">in France, a turnover exceeding 50 million euros (Manpower Group: 3.95 billion euros for the fiscal year  </w:t>
        <w:br/>
        <w:t xml:space="preserve">ending December 31, 2010; Proservia Group: 51.75 million euros for the same fiscal year). Given these  </w:t>
        <w:br/>
        <w:t xml:space="preserve">turnover figures, the operation does not have a community dimension. However, the control thresholds  </w:t>
        <w:br/>
        <w:t xml:space="preserve">mentioned in I of Article L. 430-2 of the Commercial Code are exceeded. The present operation is therefore  </w:t>
        <w:br/>
        <w:t xml:space="preserve">subject to the provisions of Articles L. 430-3 and following of the Commercial Code, relating to economic  </w:t>
        <w:br/>
        <w:t xml:space="preserve">concentration.  </w:t>
        <w:br/>
        <w:t xml:space="preserve">II. Definition of the relevant markets  </w:t>
        <w:br/>
        <w:t xml:space="preserve">5. The parties to the operation are simultaneously active in the IT services sector.  </w:t>
        <w:br/>
        <w:t xml:space="preserve">A. PRODUCT MARKETS  </w:t>
        <w:br/>
        <w:t xml:space="preserve">6. The competition authorities, both French2 and community3, have already had the opportunity to rule on  </w:t>
        <w:br/>
        <w:t xml:space="preserve">the definition of the relevant markets in this sector, while leaving the question open.  </w:t>
        <w:br/>
        <w:t xml:space="preserve">7. The decisional practice4 has considered that the market for IT services could be segmented into seven  </w:t>
        <w:br/>
        <w:t xml:space="preserve">functional categories of services: (i) overall management services, (ii) business management services,  </w:t>
        <w:br/>
        <w:t xml:space="preserve">(iii) software development and integration, (iv) consulting, (v) software maintenance and logistical support,  </w:t>
        <w:br/>
        <w:t xml:space="preserve">(vi) hardware maintenance and logistical support, and (vii) education and training.  </w:t>
        <w:br/>
        <w:t xml:space="preserve">1 The shareholders selling shares of the company Proservia are the company FIPAMA, Mr. Thierry Congard, Mrs. Marie-Pierre  </w:t>
        <w:br/>
        <w:t xml:space="preserve">Congard, Mr. Michaël Amara, Mr. Eric Elbaz, and Mr. Alain Abisror.  </w:t>
        <w:br/>
        <w:t xml:space="preserve">2 See, for example, the decision of the Competition Authority 11-DCC-20 regarding the exclusive control of the APTUS group by the  </w:t>
        <w:br/>
        <w:t xml:space="preserve">AUSY group; and decision 09-DCC-93 of December 31, 2009, regarding the acquisition by Bull SA of assets from Crescendo  </w:t>
        <w:br/>
        <w:t xml:space="preserve">Industries.  </w:t>
        <w:br/>
        <w:t xml:space="preserve">3 Decisions of the European Commission No. M.2365 of April 4, 2001, Schlumberger / Sema; No. 2609 of January 31, 2002, HP /  </w:t>
        <w:br/>
        <w:t xml:space="preserve">Compaq; No. 3555 of September 9, 2004, Hewlett – Packard / Synstar; No. 3571 of November 18, 2004, IBM / Maerskdate /  </w:t>
        <w:br/>
        <w:t xml:space="preserve">DMData; No. M.3995 of December 1, 2005, Belgacom / Telindus; No. M.5197 of July 25, 2008, HP / EDS and No. M.5301 Cap  </w:t>
        <w:br/>
        <w:t xml:space="preserve">Gemini / BAS of October 13, 2008.  </w:t>
        <w:br/>
        <w:t xml:space="preserve">4 See notably the decision 11-DCC-20 of the Competition Authority mentioned above and the decision of the European Commission  </w:t>
        <w:br/>
        <w:t>No. M.5197 mentioned above.</w:t>
      </w:r>
    </w:p>
    <w:p>
      <w:r>
        <w:t xml:space="preserve">8. Different alternative or complementary segmentations have also been considered5 according to:  </w:t>
        <w:br/>
        <w:t xml:space="preserve">- the type of clientele, SMEs / SMIs or large accounts;  </w:t>
        <w:br/>
        <w:t xml:space="preserve">- the types of information and communication systems: (i) management application systems, which include  </w:t>
        <w:br/>
        <w:t xml:space="preserve">IT services used to fulfill a horizontal function within companies or administrations; (ii) embedded industrial  </w:t>
        <w:br/>
        <w:t xml:space="preserve">technical scientific application systems; (iii) generic application systems; (iv) IT infrastructure systems; and  </w:t>
        <w:br/>
        <w:t xml:space="preserve">(v) communication and enterprise network infrastructure systems.  </w:t>
        <w:br/>
        <w:t xml:space="preserve">- the sector of activity, namely: (i) communications, (ii) education, (iii) energy and local networks, (iv)  </w:t>
        <w:br/>
        <w:t xml:space="preserve">financial services, (v) the public sector, (vi) health, (vii) industry, (viii) commerce and distribution, (ix)  </w:t>
        <w:br/>
        <w:t xml:space="preserve">services, and (x) transport.  </w:t>
        <w:br/>
        <w:t xml:space="preserve">9. There is no need to challenge these segmentations in the context of the present operation.  </w:t>
        <w:br/>
        <w:t xml:space="preserve">10. The activities of the parties to the operation overlap in the sole functional category of overall management.  </w:t>
        <w:br/>
        <w:t xml:space="preserve">11. Regarding the other segmentations, both parties target a clientele primarily composed of large companies.  </w:t>
        <w:br/>
        <w:t xml:space="preserve">Moreover, Proservia and Manpower simultaneously provide services that fall under communication and  </w:t>
        <w:br/>
        <w:t xml:space="preserve">enterprise network infrastructure systems. Finally, they are both present in the IT services markets aimed at the  </w:t>
        <w:br/>
        <w:t xml:space="preserve">following sectors of activity: communications, financial services, industry, and services.  </w:t>
        <w:br/>
        <w:t xml:space="preserve">12. The competitive analysis will therefore be conducted on these segments, on which the activities of Proservia  </w:t>
        <w:br/>
        <w:t xml:space="preserve">and Manpower overlap.  </w:t>
        <w:br/>
        <w:t xml:space="preserve">B. GEOGRAPHICAL MARKETS  </w:t>
        <w:br/>
        <w:t xml:space="preserve">13. The competition authorities6 have, on several occasions, determined that the markets for IT services were of  </w:t>
        <w:br/>
        <w:t xml:space="preserve">national dimension, notably due to the necessity for service providers to communicate regularly in the language  </w:t>
        <w:br/>
        <w:t xml:space="preserve">of their clients and to maintain a relative proximity to them. However, they have noted a certain  </w:t>
        <w:br/>
        <w:t xml:space="preserve">internationalization of supply and demand.  </w:t>
        <w:br/>
        <w:t xml:space="preserve">14. In this case, the competitive analysis will be conducted at the national level.  </w:t>
        <w:br/>
        <w:t xml:space="preserve">III. Competitive Analysis  </w:t>
        <w:br/>
        <w:t xml:space="preserve">15. The French market for IT services is a dynamic and fragmented market, which includes more than 19,300  </w:t>
        <w:br/>
        <w:t xml:space="preserve">companies and is primarily concentrated in the region.  </w:t>
        <w:br/>
        <w:t xml:space="preserve">5 See notably the decision of the Competition Authority 11-DCC-20 mentioned above.  </w:t>
        <w:br/>
        <w:t xml:space="preserve">6 See notably the decision 11-DCC-20 of the Competition Authority mentioned above, as well as decision No. M. 5301 of the  </w:t>
        <w:br/>
        <w:t>European Commission.</w:t>
      </w:r>
    </w:p>
    <w:p>
      <w:r>
        <w:rPr>
          <w:b/>
        </w:rPr>
        <w:t>[Pages 4–4]</w:t>
      </w:r>
    </w:p>
    <w:p>
      <w:r>
        <w:t>parisienne7. Major international groups are present there, such as IBM, Cap Gemini, Accenture, Atos Origin, and Hewlett-Packard.</w:t>
      </w:r>
    </w:p>
    <w:p>
      <w:r>
        <w:t>16. In the global IT services market, the parties estimate their market shares, based on data provided by a specialized consulting firm regarding the software and services market in 2010, at [0-5]% for the Proservia group and [0-5]% for the Manpower group, resulting in a combined market share of [0-5]%.</w:t>
      </w:r>
    </w:p>
    <w:p>
      <w:r>
        <w:t>17. In the functional segment of global management services, the parties assess their market share at [0-5]% for the Proservia group and [0-5]% for the Manpower group, resulting in a combined market share of [0-5]%.</w:t>
      </w:r>
    </w:p>
    <w:p>
      <w:r>
        <w:t>18. In the segment of services for large accounts, the parties estimate their market share at [0-5]% for the Proservia group and [0-5]% for the Manpower group, resulting in a combined market share of [0-5]%.</w:t>
      </w:r>
    </w:p>
    <w:p>
      <w:r>
        <w:t>19. In the segment of IT infrastructure systems, the parties assess their market share at [0-5]% for the Proservia group and [0-5]% for the Manpower group, resulting in a combined market share of [0-5]%.</w:t>
      </w:r>
    </w:p>
    <w:p>
      <w:r>
        <w:t>20. Finally, in the event of a segmentation by sector of activity, the new entity would hold a market share of less than [0-5]% in each of the markets where the Proservia and Manpower groups are simultaneously present8.</w:t>
      </w:r>
    </w:p>
    <w:p>
      <w:r>
        <w:t>21. Consequently, the proposed operation is not likely to affect competition in the IT services markets.</w:t>
      </w:r>
    </w:p>
    <w:p>
      <w:r>
        <w:t>DECIDES</w:t>
      </w:r>
    </w:p>
    <w:p>
      <w:r>
        <w:t>Sole Article: The operation notified under number 11-0130 is authorized.</w:t>
      </w:r>
    </w:p>
    <w:p>
      <w:r>
        <w:t>The Vice-President,</w:t>
        <w:br/>
        <w:t>Françoise Aubert</w:t>
        <w:br/>
        <w:t>Competition Authority</w:t>
      </w:r>
    </w:p>
    <w:p>
      <w:r>
        <w:t xml:space="preserve">7 Source: Xerfi, IT Services, May 2010.  </w:t>
        <w:br/>
        <w:t>8 These are the markets intended for the sectors i) communications; ii) financial services; iii) industry; iv)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