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https://www.autoritedelaconcurrence.fr/fr/decision-de-controle-des-concentrations/relative-la-prise-de-controle-exclusif-de-la-societe-310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20-DCC-156 of November 27, 2020</w:t>
        <w:br/>
        <w:t>regarding the exclusive control acquisition of the company</w:t>
        <w:br/>
        <w:t>Exterion Holdings France by the company HoldCo Media</w:t>
        <w:br/>
        <w:t>The Competition Authority,</w:t>
        <w:br/>
        <w:t>Having regard to the complete notification file sent to the mergers department on November 3, 2020,</w:t>
        <w:br/>
        <w:t>regarding the exclusive control acquisition of the company Exterion Holdings France by the company</w:t>
        <w:br/>
        <w:t>HoldCo Media, formalized by a share transfer and acquisition agreement dated</w:t>
        <w:br/>
        <w:t>October 27, 2020;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HoldCo Media of the</w:t>
        <w:br/>
        <w:t>company Exterion Holdings France, active in the markets of outdoor advertising. It</w:t>
        <w:br/>
        <w:t>constitutes a concentration operation within the meaning of Article L. 430-1 of the Commercial Code.</w:t>
        <w:br/>
        <w:t>Given the turnover generated by the concerned companies, the operation does not fall</w:t>
        <w:br/>
        <w:t>under the jurisdiction of the European Union. On the other hand, the control thresholds mentioned</w:t>
        <w:br/>
        <w:t>in point I of Article L. 430-2 of the Commercial Code are exceeded. This operation is</w:t>
        <w:br/>
        <w:t>therefore 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20-211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