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20-DCC-170 of November 30, 2020  </w:t>
        <w:br/>
        <w:t xml:space="preserve">regarding the exclusive control acquisition of the company Financière Enos by  </w:t>
        <w:br/>
        <w:t xml:space="preserve">the company Altenware  </w:t>
        <w:br/>
        <w:t xml:space="preserve">The Competition Authority,  </w:t>
        <w:br/>
        <w:t xml:space="preserve">Having regard to the complete notification file submitted to the mergers department on November 6, 2020,  </w:t>
        <w:br/>
        <w:t xml:space="preserve">concerning the exclusive control acquisition of the company Financière Enos by the company Altenware,  </w:t>
        <w:br/>
        <w:t xml:space="preserve">formalized by a transfer contract dated October 14,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Altenware of the  </w:t>
        <w:br/>
        <w:t xml:space="preserve">company Financière Enos, a holding company owning the companies of the Uniware group, which is  </w:t>
        <w:br/>
        <w:t xml:space="preserve">active in the information technology services sector. It constitutes a concentration operation  </w:t>
        <w:br/>
        <w:t xml:space="preserve">within the meaning of Article L. 430-1 of the Commercial Code. Given the turnover achieved  </w:t>
        <w:br/>
        <w:t xml:space="preserve">by the concerned companies, the operation does not fall under the jurisdiction of the European  </w:t>
        <w:br/>
        <w:t xml:space="preserve">Union. On the other hand, the control thresholds mentioned in point 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20-197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