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https://www.autoritedelaconcurrence.fr/fr/decision-de-controle-des-concentrations/relative-la-prise-de-controle-exclusif-de-la-societe-312</w:t>
      </w:r>
    </w:p>
    <w:p>
      <w:r>
        <w:t>Pages translated : 2</w:t>
      </w:r>
    </w:p>
    <w:p/>
    <w:p>
      <w:r>
        <w:rPr>
          <w:b/>
        </w:rPr>
        <w:t>[Pages 1–2]</w:t>
      </w:r>
    </w:p>
    <w:p>
      <w:r>
        <w:t xml:space="preserve">FRENCH REPUBLIC  </w:t>
        <w:br/>
        <w:t xml:space="preserve">Decision No. 20-DCC-190 of December 22, 2020  </w:t>
        <w:br/>
        <w:t xml:space="preserve">regarding the exclusive control of the company Holding Tuppin-Mary by the Mary group  </w:t>
        <w:br/>
        <w:t xml:space="preserve">The Competition Authority,  </w:t>
        <w:br/>
        <w:t xml:space="preserve">Having regard to the notification file submitted in full to the mergers department on December 7, 2020,  </w:t>
        <w:br/>
        <w:t xml:space="preserve">concerning the exclusive control of the company Holding Tuppin-Mary by the Mary group,  </w:t>
        <w:br/>
        <w:t xml:space="preserve">formalized by a synallagmatic promise of transfer of shares dated December 2, 2020;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by the Mary group of the company Holding Tuppin-Mary, which operates car dealerships under the brands Citroën, DS, Hyundai, Opel, Peugeot, and Skoda in Aisne (02), Oise (60), Pas-de-Calais (62), and Somme (80).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20-252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