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https://www.autoritedelaconcurrence.fr/fr/decision-de-controle-des-concentrations/relative-la-prise-de-controle-exclusif-de-la-societe-313</w:t>
      </w:r>
    </w:p>
    <w:p>
      <w:r>
        <w:t>Pages translated : 2</w:t>
      </w:r>
    </w:p>
    <w:p/>
    <w:p>
      <w:r>
        <w:rPr>
          <w:b/>
        </w:rPr>
        <w:t>[Pages 1–2]</w:t>
      </w:r>
    </w:p>
    <w:p>
      <w:r>
        <w:t xml:space="preserve">FRENCH REPUBLIC  </w:t>
        <w:br/>
        <w:t xml:space="preserve">Decision No. 20-DCC-188 of December 24, 2020  </w:t>
        <w:br/>
        <w:t xml:space="preserve">regarding the exclusive control acquisition of the company Patrick Launay by  </w:t>
        <w:br/>
        <w:t xml:space="preserve">the company Holding LG Automobiles  </w:t>
        <w:br/>
        <w:t xml:space="preserve">The Competition Authority,  </w:t>
        <w:br/>
        <w:t xml:space="preserve">Having regard to the complete notification file submitted to the mergers department on December 9, 2020,  </w:t>
        <w:br/>
        <w:t xml:space="preserve">concerning the exclusive control acquisition of the company Patrick Launay by the company Holding LG  </w:t>
        <w:br/>
        <w:t xml:space="preserve">Automobiles, formalized by a letter of intent dated November 9, 2020;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Holding LG  </w:t>
        <w:br/>
        <w:t xml:space="preserve">Automobiles, active in the automotive distribution sector in the departments of  </w:t>
        <w:br/>
        <w:t xml:space="preserve">Aude (11), Haute-Garonne (31), Hérault (34), Pyrénées-Orientales (66) and  </w:t>
        <w:br/>
        <w:t xml:space="preserve">Tarn (81) of the company Patrick Launay itself active in the automotive distribution sector in the departments of Charente (16), Charente-Maritime (17), Corrèze (19), Dordogne (24) and Haute-Vienne (87).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20-249 is authorized.  </w:t>
        <w:br/>
        <w:t xml:space="preserve">© Competition Authority  </w:t>
        <w:br/>
        <w:t xml:space="preserve">The Vice-President,  </w:t>
        <w:br/>
        <w:t>Emmanuel Combe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