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 of February 12, 2021  </w:t>
        <w:br/>
        <w:t xml:space="preserve">regarding the exclusive control acquisition of the company MyFlower by the  </w:t>
        <w:br/>
        <w:t xml:space="preserve">company PAI Partners  </w:t>
        <w:br/>
        <w:t xml:space="preserve">The Competition Authority,  </w:t>
        <w:br/>
        <w:t xml:space="preserve">Having regard to the complete notification file submitted to the mergers department on January 20, 2021,  </w:t>
        <w:br/>
        <w:t xml:space="preserve">concerning the exclusive control acquisition of the company MyFlower by the company PAI Partners,  </w:t>
        <w:br/>
        <w:t xml:space="preserve">formalized by a sale option agreement dated December 19,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PAI Partners of the  </w:t>
        <w:br/>
        <w:t xml:space="preserve">company MyFlower, the holding company of the Interflora group, primarily active in the sectors  </w:t>
        <w:br/>
        <w:t xml:space="preserve">of retail and delivery of flowers, plants, and accessories, and wholesale sale of accessories for floral products.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retail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21-008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