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https://www.autoritedelaconcurrence.fr/fr/decision-de-controle-des-concentrations/relative-la-prise-de-controle-exclusif-de-la-societe-318</w:t>
      </w:r>
    </w:p>
    <w:p>
      <w:r>
        <w:t>Pages translated : 2</w:t>
      </w:r>
    </w:p>
    <w:p/>
    <w:p>
      <w:r>
        <w:rPr>
          <w:b/>
        </w:rPr>
        <w:t>[Pages 1–2]</w:t>
      </w:r>
    </w:p>
    <w:p>
      <w:r>
        <w:t xml:space="preserve">FRENCH REPUBLIC  </w:t>
        <w:br/>
        <w:t xml:space="preserve">Decision No. 21-DCC-29 of February 24, 2021  </w:t>
        <w:br/>
        <w:t xml:space="preserve">regarding the exclusive control acquisition of Lapeyre S.A.S. by  </w:t>
        <w:br/>
        <w:t xml:space="preserve">Mutares  </w:t>
        <w:br/>
        <w:t xml:space="preserve">The Competition Authority,  </w:t>
        <w:br/>
        <w:t xml:space="preserve">Having regard to the notification file submitted complete to the mergers department on February 1, 2021,  </w:t>
        <w:br/>
        <w:t xml:space="preserve">concerning the exclusive control acquisition of Lapeyre S.A.S. by Mutares,  </w:t>
        <w:br/>
        <w:t xml:space="preserve">formalized by a sale option agreement dated November 9,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Lapeyre S.A.S. by  </w:t>
        <w:br/>
        <w:t xml:space="preserve">Mutares SE &amp; CO. KGAA. The company Lapeyre and its subsidiaries are active in the sectors  </w:t>
        <w:br/>
        <w:t xml:space="preserve">of manufacturing and distribution of construction and DIY materials and tools, and in  </w:t>
        <w:br/>
        <w:t xml:space="preserve">particular of home improvement products. The company Mutares is a German company specialized in  </w:t>
        <w:br/>
        <w:t xml:space="preserve">the acquisition of distressed businesses, which controls companies active in various industrial sectors. The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20-268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