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https://www.autoritedelaconcurrence.fr/fr/decision-de-controle-des-concentrations/relative-la-prise-de-controle-exclusif-de-la-societe-320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21-DCC-35 of March 3, 2021  </w:t>
        <w:br/>
        <w:t xml:space="preserve">regarding the exclusive control acquisition of the company Cosmeurop by the  </w:t>
        <w:br/>
        <w:t>Superga Invest group</w:t>
      </w:r>
    </w:p>
    <w:p>
      <w:r>
        <w:t>The Competition Authority,</w:t>
      </w:r>
    </w:p>
    <w:p>
      <w:r>
        <w:t xml:space="preserve">Having regard to the complete notification file submitted to the mergers department on February 15, 2021,  </w:t>
        <w:br/>
        <w:t xml:space="preserve">concerning the exclusive control acquisition of the company Cosmeurop by the Superga Invest group,  </w:t>
        <w:br/>
        <w:t>formalized by a transfer and acquisition contract dated February 15,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Superga Invest group of the  </w:t>
        <w:br/>
        <w:t xml:space="preserve">company Cosmeurop, active in the manufacturing of perfumes and cosmetic products. It  </w:t>
        <w:br/>
        <w:t xml:space="preserve">constitutes a concentration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>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20-262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