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https://www.autoritedelaconcurrence.fr/fr/decision-de-controle-des-concentrations/relative-la-prise-de-controle-exclusif-de-la-societe-321</w:t>
      </w:r>
    </w:p>
    <w:p>
      <w:r>
        <w:t>Pages translated : 2</w:t>
      </w:r>
    </w:p>
    <w:p/>
    <w:p>
      <w:r>
        <w:rPr>
          <w:b/>
        </w:rPr>
        <w:t>[Pages 1–2]</w:t>
      </w:r>
    </w:p>
    <w:p>
      <w:r>
        <w:t xml:space="preserve">FRENCH REPUBLIC  </w:t>
        <w:br/>
        <w:t xml:space="preserve">Decision No. 21-DCC-42 of March 12, 2021  </w:t>
        <w:br/>
        <w:t xml:space="preserve">regarding the exclusive control acquisition of the company Alliance Etiquettes SAS by the company Chequers Partenaires SA  </w:t>
        <w:br/>
        <w:t xml:space="preserve">The Competition Authority,  </w:t>
        <w:br/>
        <w:t xml:space="preserve">Having regard to the complete notification file sent to the mergers department on February 23, 2021, concerning the exclusive control acquisition of the company Alliance Etiquettes SAS by the company Chequers Partenaires SA and materialized by a purchase promise dated January 23,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Chequers Partenaires SA, management company of Chequers Capital XVII FPCI, via the company Label Invest SAS, of the company Alliance Etiquettes SAS active in the field of creation and printing of labels.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21-025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