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21-DCC-130 of July 29, 2021  </w:t>
        <w:br/>
        <w:t xml:space="preserve">regarding the exclusive control acquisition of the company Veranbert by the  </w:t>
        <w:br/>
        <w:t xml:space="preserve">company ITM Entreprises  </w:t>
        <w:br/>
        <w:t xml:space="preserve">The Competition Authority,  </w:t>
        <w:br/>
        <w:t xml:space="preserve">Having regard to the complete notification file sent to the mergers department on July 9, 2021,  </w:t>
        <w:br/>
        <w:t xml:space="preserve">concerning the exclusive control acquisition of the company Veranbert by the company ITM Entreprises,  </w:t>
        <w:br/>
        <w:t xml:space="preserve">formalized by a firm acquisition offer letter dated July 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ITM Entreprises of  </w:t>
        <w:br/>
        <w:t xml:space="preserve">the company Veranbert, which operates a predominantly food retail business of the supermarket type  </w:t>
        <w:br/>
        <w:t xml:space="preserve">with an area of 2,200 m² under the Intermarché brand, located in Airvault (79). It  </w:t>
        <w:br/>
        <w:t xml:space="preserve">constitutes a concentration within the meaning of Article L. 430-1 of the Commercial Code. Given  </w:t>
        <w:br/>
        <w:t xml:space="preserve">the turnover generated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21-148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