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https://www.autoritedelaconcurrence.fr/fr/decision-de-controle-des-concentrations/relative-la-prise-de-controle-exclusif-de-la-societe-326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21-DCC-143 of August 17, 2021  </w:t>
        <w:br/>
        <w:t xml:space="preserve">regarding the exclusive control acquisition of the company Cofledis by the  </w:t>
        <w:br/>
        <w:t xml:space="preserve">Carrefour group  </w:t>
        <w:br/>
        <w:t xml:space="preserve">The Competition Authority,  </w:t>
        <w:br/>
        <w:t xml:space="preserve">Having regard to the complete notification file sent to the mergers department on July 28, 2021,  </w:t>
        <w:br/>
        <w:t xml:space="preserve">concerning the exclusive control acquisition of the company Cofledis by the operating company Amidis  </w:t>
        <w:br/>
        <w:t xml:space="preserve">et Compagnie, a subsidiary of the Carrefour group, formalized by a share transfer agreement dated  </w:t>
        <w:br/>
        <w:t xml:space="preserve">July 24,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submitted by the notifying party during the investigation;  </w:t>
        <w:br/>
        <w:t xml:space="preserve">Adopts the following decision:  </w:t>
        <w:br/>
        <w:t xml:space="preserve">1. The notified operation consists of the exclusive control acquisition by the operating company Amidis  </w:t>
        <w:br/>
        <w:t xml:space="preserve">et Compagnie, a subsidiary of the Carrefour group, of the company Cofledis, which operates, under  </w:t>
        <w:br/>
        <w:t xml:space="preserve">the Carrefour Market brand, a hypermarket with an area of 3,168 m² located in Fleurance (32).  </w:t>
        <w:br/>
        <w:t xml:space="preserve">It constitutes a concentration operation within the meaning of Article L. 430-1 of the Commercial Code.  </w:t>
        <w:br/>
        <w:t xml:space="preserve">Given the turnover achieved by the concerned companies, the operation does not fall under the  </w:t>
        <w:br/>
        <w:t xml:space="preserve">competence of the European Union. On the other hand, the control thresholds related to retail trade  </w:t>
        <w:br/>
        <w:t xml:space="preserve">mentioned in II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view of the elements of the file, the operation is not likely to harm competition in the  </w:t>
        <w:br/>
        <w:t>concerned markets.</w:t>
      </w:r>
    </w:p>
    <w:p>
      <w:r>
        <w:t xml:space="preserve">DECIDES  </w:t>
        <w:br/>
        <w:t xml:space="preserve">Single Article: The operation notified under number 21-166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