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21-DCC-150 of August 19, 2021  </w:t>
        <w:br/>
        <w:t xml:space="preserve">regarding the exclusive control acquisition of the company Financière SBL by  </w:t>
        <w:br/>
        <w:t xml:space="preserve">the company IK Investment Partners AIFM  </w:t>
        <w:br/>
        <w:t xml:space="preserve">The Competition Authority,  </w:t>
        <w:br/>
        <w:t xml:space="preserve">Having regard to the notification file sent to the mergers department on July 28, 2021, declared  </w:t>
        <w:br/>
        <w:t xml:space="preserve">complete on August 13, 2021, concerning the exclusive control acquisition of the company Financière SBL by  </w:t>
        <w:br/>
        <w:t xml:space="preserve">the company IK Investment Partners AIFM, formalized by a transfer and contribution agreement dated  </w:t>
        <w:br/>
        <w:t xml:space="preserve">July 27,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IK Investment  </w:t>
        <w:br/>
        <w:t xml:space="preserve">Partners AIFM of the company Financière SBL, active through its various subsidiaries in the sector of  </w:t>
        <w:br/>
        <w:t xml:space="preserve">coatings, varnishes, and paints for wood, notably through the brands Blanchon, Syntilor, Carver, and  </w:t>
        <w:br/>
        <w:t xml:space="preserve">Ciranova. It constitutes a concentration operation within the meaning of Article L. 430-1 of the Commercial  </w:t>
        <w:br/>
        <w:t xml:space="preserve">Code. Given the turnover achieved by the companies concerned, the operation does not fall under the  </w:t>
        <w:br/>
        <w:t xml:space="preserve">jurisdiction of the European Union. However, the control thresholds mentioned in I of Article L. 430-2 of  </w:t>
        <w:br/>
        <w:t xml:space="preserve">the Commercial Code are exceeded. The present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21-171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