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https://www.autoritedelaconcurrence.fr/fr/decision-de-controle-des-concentrations/relative-la-prise-de-controle-exclusif-de-la-societe-328</w:t>
      </w:r>
    </w:p>
    <w:p>
      <w:r>
        <w:t>Pages translated : 11</w:t>
      </w:r>
    </w:p>
    <w:p/>
    <w:p>
      <w:r>
        <w:rPr>
          <w:b/>
        </w:rPr>
        <w:t>[Pages 1–3]</w:t>
      </w:r>
    </w:p>
    <w:p>
      <w:r>
        <w:t xml:space="preserve">FRENCH REPUBLIC  </w:t>
        <w:br/>
        <w:t xml:space="preserve">Decision No. 21-DCC-156 of September 1, 2021  </w:t>
        <w:br/>
        <w:t>regarding the exclusive control of the company Panofrance by the company Distribution Matériaux Bois-Panneaux</w:t>
      </w:r>
    </w:p>
    <w:p>
      <w:r>
        <w:t xml:space="preserve">The Competition Authority,  </w:t>
        <w:br/>
        <w:t xml:space="preserve">Having regard to the notification file submitted in full to the merger service on July 6, 2021, regarding the exclusive control of the company Panofrance by the company Distribution Matériaux Bois-Panneaux (hereinafter "DMBP"), formalized by a purchase promise dated May 3, 2021;  </w:t>
        <w:br/>
        <w:t xml:space="preserve">Having regard to Book IV of the Commercial Code relating to the freedom of prices and competition, and in particular its Articles L. 430-1 to L. 430-7;  </w:t>
        <w:br/>
        <w:t xml:space="preserve">Having regard to the commitments submitted on August 4, 2021, by the notifying party;  </w:t>
        <w:br/>
        <w:t xml:space="preserve">Having regard to the additional elements transmitted by the notifying party during the investigation;  </w:t>
        <w:br/>
        <w:t>Adopts the following decision:</w:t>
      </w:r>
    </w:p>
    <w:p>
      <w:r>
        <w:t xml:space="preserve">Summary1  </w:t>
        <w:br/>
        <w:t xml:space="preserve">Under the terms of the decision below, the Authority examined the acquisition of Panofrance by DMBP.  </w:t>
        <w:br/>
        <w:t xml:space="preserve">The parties are simultaneously active in the specialized trading markets for wood and panels (construction or fitting panels: plywood, laminate, melamine, etc.).  </w:t>
        <w:br/>
        <w:t xml:space="preserve">The operation does not raise competition concerns in the upstream national supply markets.  </w:t>
        <w:br/>
        <w:t xml:space="preserve">In the local downstream markets for specialized trading of wood and panels, the combined market share of the new entity will exceed 25% in eleven areas where the operation results in an overlap of activities between the parties. In ten of these areas, the occurrence of competition issues related to the operation could be ruled out. However, in the catchment area located around the target point of sale in Tarbes (65), the combined market share of the new entity will, following the operation, be [60-70]%. The competitive risks associated with this significant market share could not be ruled out by the competitive structure of the market.  </w:t>
        <w:br/>
        <w:t xml:space="preserve">In order to address these competition concerns, the DMBP group has committed to sell to an operator approved by the Authority, one of the points of sale of the new entity located in the area. It emerged from the investigation that these commitments were likely to ensure the maintenance of a sufficient competitive structure in the Tarbes area, by eliminating the overlap of activities of the parties related to the operation.  </w:t>
        <w:br/>
        <w:t xml:space="preserve">Given the commitments made by the DMBP group, the Authority authorized the present operation following a phase 1 review.  </w:t>
        <w:br/>
        <w:t>1 This summary is strictly informative. Only the reasons for the decision numbered below are authoritative.</w:t>
      </w:r>
    </w:p>
    <w:p>
      <w:r>
        <w:t xml:space="preserve">I. The companies concerned and the operation  </w:t>
        <w:br/>
        <w:t xml:space="preserve">1. DMBP is a subsidiary of the Saint-Gobain group. It specializes in the trading of wood and panels2 for professionals (fitters, carpenters, joiners, landscapers, painters, etc.). Its network is organized around [confidential] regional platforms and includes 46 agencies operated under four brands: Dispano (39 agencies), CBC (three agencies), Fabre &amp; Lebeau (two agencies specialized in joinery) and CIBM (two agencies).  </w:t>
        <w:br/>
        <w:t xml:space="preserve">2. Panofrance SAS is, prior to the operation, 100% owned by Chausson Matériaux3. Panofrance specializes in the trading of wood and panels. It has 30 agencies in France; however, only 27 agencies are included in the scope of the operation, as those located in Marseille, Nancy, and Metz will remain under the control of Chausson Matériaux.  </w:t>
        <w:br/>
        <w:t xml:space="preserve">3. The operation, formalized by a purchase promise dated May 3, 2021, consists of the exclusive control, by the Saint-Gobain company ("Saint-Gobain"), through its subsidiary DMBP, of 27 points of sale of the company Panofrance ("the target points of sale"). In this regard, the notified operation constitutes a concentration operation within the meaning of Article L. 430-1 of the Commercial Code.  </w:t>
        <w:br/>
        <w:t>4. The companies concerned together achieve a total worldwide turnover of more than 150 million euros (DMBP: [≥ 150 million] euros for the fiscal year ending December 31, 2020; Panofrance: [≥ 150 million] euros for the same fiscal year). Each of these companies achieves a turnover in France exceeding 50 million euros (DMBP: [≥ 50 million] euros for the fiscal year ending December 31, 2020; Panofrance: [≥ 50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5. Upstream, both parties are present in the markets for the supply of construction materials in wood and panels as buyers from suppliers. The parties are also present in the market for the supply of construction materials in joinery.  </w:t>
        <w:br/>
        <w:t xml:space="preserve">6. Downstream, both parties are present in the specialized trading markets for wood and panels used as construction materials by professionals. The parties also have a minor activity in the downstream market for specialized joinery trading.  </w:t>
        <w:br/>
        <w:t xml:space="preserve">2 Panels can be construction (plywood and raw latticed, OSB panel and board (thin, long, and oriented strands), particle board, exterior compact laminate, fiber-cement, film-faced plywood for formwork, anti-slip plywood, expanded PVC) or fitting (decorative laminate, wood and metal laminate, decorative melamine, worktops, synthetic resin, fine woods, MDF (medium-density fiberboard)).  </w:t>
        <w:br/>
        <w:t>3 Decision of the Competition Authority No. 21-DCC-53 of March 24, 2021, regarding the exclusive control of the companies Bois &amp; Matériaux, Bois &amp; Matériaux Distribution, and Panofrance by the company Chausson Matériaux.</w:t>
      </w:r>
    </w:p>
    <w:p>
      <w:r>
        <w:rPr>
          <w:b/>
        </w:rPr>
        <w:t>[Pages 4–6]</w:t>
      </w:r>
    </w:p>
    <w:p>
      <w:r>
        <w:t>A. UPSTREAM MARKETS FOR THE SUPPLY OF CONSTRUCTION MATERIALS</w:t>
      </w:r>
    </w:p>
    <w:p>
      <w:r>
        <w:t>1. PRODUCT MARKETS</w:t>
      </w:r>
    </w:p>
    <w:p>
      <w:r>
        <w:t>7. In terms of the supply and provision of construction materials, the decision-making practice of competition authorities distinguishes as many markets as there are product families, each having its own characteristics. The structure of supply, pricing dynamics, or manufacturing constraints can indeed vary significantly from one product family to another.</w:t>
      </w:r>
    </w:p>
    <w:p>
      <w:r>
        <w:t>8. Thus, decision-making practice has notably identified or considered the following families: exterior fittings, interior and exterior joinery, wood and panels, tools and hardware, tiling, paint and treatment, heating, ceilings and insulation, roofing and waterproofing, plastering, decoration and kitchen, products related to building chemistry, electricity, sanitary, structural work and masonry, public works, gardens and environment.</w:t>
      </w:r>
    </w:p>
    <w:p>
      <w:r>
        <w:t>9. However, it is not necessary to conclude on the exact delimitation of these markets insofar as, regardless of the segmentation retained, the conclusions of the competitive analysis remain unchanged.</w:t>
      </w:r>
    </w:p>
    <w:p>
      <w:r>
        <w:t>10. In this case, the parties are simultaneously active in the upstream markets for the supply and provision of construction materials in wood and panels on one hand, and joinery on the other hand, a segment in which they have a marginal activity.</w:t>
      </w:r>
    </w:p>
    <w:p>
      <w:r>
        <w:t>2. GEOGRAPHICAL MARKETS</w:t>
      </w:r>
    </w:p>
    <w:p>
      <w:r>
        <w:t>11. Competition authorities consider that the geographical dimension of the upstream markets for the supply and provision of construction materials is at least national.</w:t>
      </w:r>
    </w:p>
    <w:p>
      <w:r>
        <w:t>12. In this case, the competitive analysis will therefore be conducted at the national level, with the conclusions remaining unchanged if it were to be carried out at a supranational level.</w:t>
      </w:r>
    </w:p>
    <w:p>
      <w:r>
        <w:t>B. DOWNSTREAM MARKETS FOR THE TRADE OF CONSTRUCTION MATERIALS</w:t>
      </w:r>
    </w:p>
    <w:p>
      <w:r>
        <w:t>1. PRODUCT MARKETS</w:t>
      </w:r>
    </w:p>
    <w:p>
      <w:r>
        <w:t>13. Competition authorities define the trade of construction materials as "a traditional activity through which traders sell from stock all the materials necessary for construction companies." This activity consists of wholesaling a wide assortment of materials that, although not substitutable for one another, are nevertheless necessary and often associated to carry out a construction project.</w:t>
      </w:r>
    </w:p>
    <w:p>
      <w:r>
        <w:t>14. The materials thus marketed are primarily intended for professionals, which implies specificities in the organization of product distribution, as well as in the breadth and depth of the ranges of materials offered. This market is thus distinguished from the retail distribution of DIY materials, as the offer from traders is primarily aimed at professionals and not individuals, unlike large DIY stores.</w:t>
      </w:r>
    </w:p>
    <w:p>
      <w:r>
        <w:t>15. Within the trade of construction materials, the Authority distinguishes between "generalist" traders and "specialist" traders based on the depth of the range of materials distributed. Thus, the offer of "generalist" traders covers a complete assortment of product ranges and addresses all actors in the construction sector. "Specialist" traders, whose offer is centered on a family of products, provide deeper ranges and more refined expertise on specific product lines, aimed at specialized professionals. The Authority has, for example, considered that the specialized trade in construction materials for public works could constitute a distinct market. Decision-making practice has also considered the existence of a distinct market for the specialized trade in roofing materials or the specialized trade in wood materials.</w:t>
      </w:r>
    </w:p>
    <w:p>
      <w:r>
        <w:t>16. Downstream, the parties are simultaneously present in the specialized trade market for wood and panels.</w:t>
      </w:r>
    </w:p>
    <w:p>
      <w:r>
        <w:t>2. GEOGRAPHICAL MARKETS</w:t>
      </w:r>
    </w:p>
    <w:p>
      <w:r>
        <w:t>17. Competition authorities consider that the market for the trade of construction materials is of a local dimension, as construction professionals primarily make their purchases close to their area of intervention. In practice, the distances traveled by buyers of construction materials vary depending on the degree of specialization of the relevant point of sale. Competition authorities have thus retained catchment areas with a radius of 50 kilometers from the point of sale for generalist traders and from 50 to 75 kilometers for specialist traders.</w:t>
      </w:r>
    </w:p>
    <w:p>
      <w:r>
        <w:t>18. The actual behavior of consumers in a given area can, however, be specified with data collected by points of sale on the actual location of their customers, according to the method known as "actual footprints." Generally, the catchment area of a point of sale can be limited to that which includes customers representing 80% of the point of sale's turnover or 80% of its customers, depending on the available data. The remainder is considered as occasional and non-significant clientele, sometimes indeed very far from the point of sale.</w:t>
      </w:r>
    </w:p>
    <w:p>
      <w:r>
        <w:t>19. In the case at hand, in accordance with this method known as "actual footprints," the parties have identified catchment areas corresponding to each of the target's points of sale. In 18 areas, the operation results in an overlap of activities between the acquirer and the target.</w:t>
      </w:r>
    </w:p>
    <w:p>
      <w:r>
        <w:t>III. Competitive Analysis</w:t>
      </w:r>
    </w:p>
    <w:p>
      <w:r>
        <w:t>A. UPSTREAM MARKETS FOR THE SUPPLY OF CONSTRUCTION MATERIALS</w:t>
      </w:r>
    </w:p>
    <w:p>
      <w:r>
        <w:t>20. In the upstream markets for the supply of construction materials, the new entity will hold a national market share of less than 25%, regardless of the segmentation considered.</w:t>
      </w:r>
    </w:p>
    <w:p>
      <w:r>
        <w:t>21. Consequently, the operation is not likely to harm competition through horizontal effects in the upstream markets for the supply of construction materials.</w:t>
      </w:r>
    </w:p>
    <w:p>
      <w:r>
        <w:t>B. DOWNSTREAM MARKETS FOR THE SPECIALIZED TRADE OF WOOD AND PANELS</w:t>
      </w:r>
    </w:p>
    <w:p>
      <w:r>
        <w:t>22. The operation leads to an overlap of activities between the parties in the catchment areas around 18 points of sale of the target specialized in the trade of wood and panels, throughout the national territory.</w:t>
      </w:r>
    </w:p>
    <w:p>
      <w:r>
        <w:t>23. The estimated market share of the new entity is less than 25% in 7 areas. The estimated market share of the new entity is between 25% and 50% in 10 areas. Finally, it is greater than 50% in the area centered around the target point of sale in Tarbes.</w:t>
      </w:r>
    </w:p>
    <w:p>
      <w:r>
        <w:t>Analysis of the areas where the market share of the new entity is less than 25%</w:t>
      </w:r>
    </w:p>
    <w:p>
      <w:r>
        <w:rPr>
          <w:b/>
        </w:rPr>
        <w:t>[Pages 7–9]</w:t>
      </w:r>
    </w:p>
    <w:p>
      <w:r>
        <w:t>24. Regarding the 7 areas18 where the estimated market share of the new entity is below 25%, the absence of competition concerns related to the operation has been presumed, in accordance with the guidelines of the Competition Authority regarding merger control19.</w:t>
      </w:r>
    </w:p>
    <w:p>
      <w:r>
        <w:t>Analysis of the areas where the market share of the new entity is between 25% and 50%</w:t>
      </w:r>
    </w:p>
    <w:p>
      <w:r>
        <w:t>25. Concerning these areas, the level of market share does not allow for the presumption of the absence of competitive effects from the operation. Additional qualitative analysis is necessary, the principles of which are outlined below.</w:t>
      </w:r>
    </w:p>
    <w:p>
      <w:r>
        <w:t>26. First, the decision-making practice of the Authority considers that, in the markets for the trading of construction materials, the risk of reducing competition can generally be ruled out if, following the operation, at least two national or multi-regional competitors remain in the relevant area20. The Authority holds that national or multi-regional competitors are groups operating under one or more brands across a large part of the national territory (and at least in two distinct regions) and consequently have a large number of points of sale. Indeed, the presence of at least two competing brands, backed by large groups, is capable of ensuring a sufficient alternative supply to that of the new entity. Furthermore, these types of competitors have sufficient logistical and commercial capabilities to respond to a shift in demand from the customers of the new entity, particularly in the event of a price increase or a decrease in service quality by the latter21.</w:t>
      </w:r>
    </w:p>
    <w:p>
      <w:r>
        <w:t>27. Secondly, in accordance with the decision-making practice of the Authority22, in the absence of a sufficient number of national or multi-regional competitors, other types of competitors have been taken into account in the local analyses conducted when it was considered that these operators (groups of independents, isolated independents, or cooperatives) were likely to provide a sufficient alternative supply to that of the new entity.</w:t>
      </w:r>
    </w:p>
    <w:p>
      <w:r>
        <w:t>28. In this case, the stores of the parties will face the presence of at least three competing brands in the 10 areas where the market share in value of the new entity is below 50%23. These competitors consist of points of sale of the national brands Gedibois or Partedis, points of sale of regional operators (notably Guibout, Parlons Bois), or cooperatives or isolated independents. The identified competing points of sale in each of the areas are, in the vast majority of cases, located in the same urban area as the target point of sale.</w:t>
      </w:r>
    </w:p>
    <w:p>
      <w:r>
        <w:t>29. In 8 of these local areas, competing brands are significantly present (at least 4 brands present in each area). Depending on the areas, these competing brands include either at least two national or multi-regional competitors or other types of competitors that constitute a sufficient alternative to the stores of the new entity. In all cases, the competitors will operate a sufficient number of points of sale to ensure the maintenance of competitive dynamics in each of the areas.</w:t>
      </w:r>
    </w:p>
    <w:p>
      <w:r>
        <w:t>18 These are the catchment areas located around the following target points of sale: Angers, Bordeaux, Bourges, Ivry, Le Bourget, Nantes, and Soissons.</w:t>
      </w:r>
    </w:p>
    <w:p>
      <w:r>
        <w:t>19 See point 624 above.</w:t>
      </w:r>
    </w:p>
    <w:p>
      <w:r>
        <w:t>20 Decisions n° 17-DCC-174 and n° 18-DCC-25 cited above.</w:t>
      </w:r>
    </w:p>
    <w:p>
      <w:r>
        <w:t>21 Ibid.</w:t>
      </w:r>
    </w:p>
    <w:p>
      <w:r>
        <w:t>22 Decision n° 12-DCC-41 cited above.</w:t>
      </w:r>
    </w:p>
    <w:p>
      <w:r>
        <w:t>23 These are the catchment areas located around the following target points of sale: Belfort, Caen, Le Mans, Lille, Lyon, Montpellier, Pau, Strasbourg, Toulouse, and Toulouse Meyer.</w:t>
      </w:r>
    </w:p>
    <w:p>
      <w:r>
        <w:t>30. In the areas where the number of identified competitors is the lowest (3 brands) – in Belfort and Le Mans – national groups are well established: in the Belfort area, the market share of the new entity will be [20-30]%. Furthermore, the Gedibois brand operates 3 points of sale, the same number as the new entity after the operation. In the Le Mans area, the market share of the new entity will be [30-40]%. Moreover, the Partedis brand operates 4 points of sale, while the new entity will control 3 stores following the operation. Thus, the number of competing points of sale will be sufficient to discipline the new entity.</w:t>
      </w:r>
    </w:p>
    <w:p>
      <w:r>
        <w:t>31. Given all these elements, the operation is not likely to harm competition in the 10 catchment areas located around the target points of sale where there is an overlap of activities between the parties with a market share of the new entity between 25% and 50%.</w:t>
      </w:r>
    </w:p>
    <w:p>
      <w:r>
        <w:t>Analysis of the area where the market share of the new entity is above 50%</w:t>
      </w:r>
    </w:p>
    <w:p>
      <w:r>
        <w:t>32. In the Tarbes area, the new entity will hold a market share of [60-70]%.</w:t>
      </w:r>
    </w:p>
    <w:p>
      <w:r>
        <w:t>33. First, the situation in the Tarbes area prior to the operation already revealed a relatively limited number of active points of sale in the specialized trading market for wood and panels. While, in this prior state, the market share of the acquirer in the area was relatively limited ([10-20]%), that of the target was already significant ([40-50]%), with it operating two points of sale24. Following the operation, the market share of the new entity will therefore be significant, with an increase related to the operation of nearly [20-30] percentage points.</w:t>
      </w:r>
    </w:p>
    <w:p>
      <w:r>
        <w:t>34. Secondly, in this area, only two independent competing points of sale, Ségassie Négoce Bois and Matériaux Bois Pyrénéens, will continue to compete with the new entity. Other types of competing brands are absent, unlike what is observed in the other analyzed catchment areas. Indeed, no competing brand of national or multi-regional scope or any cooperative operates a point of sale there.</w:t>
      </w:r>
    </w:p>
    <w:p>
      <w:r>
        <w:t>35. Therefore, there is concern that the only competitive pressure exerted by the aforementioned two agencies will be insufficient to discipline the new entity in the Tarbes area following the operation, which will control 3 points of sale.</w:t>
      </w:r>
    </w:p>
    <w:p>
      <w:r>
        <w:t>36. Consequently, the Authority considers that the competitive situation described above will not effectively discipline the behavior of the new entity in the area. The operation is therefore likely to harm competition in the area around the Panofrance point of sale located at 11 route de Pau, in Tarbes.</w:t>
      </w:r>
    </w:p>
    <w:p>
      <w:r>
        <w:t>37. On August 4, 2021, the notifying party submitted commitments, presented in section IV, to address the anticompetitive risks identified above.</w:t>
      </w:r>
    </w:p>
    <w:p>
      <w:r>
        <w:t>24 Prior to the operation, the acquirer operated a Dispano point of sale in Lons, and the target operated, in addition to the point of sale around which the catchment area is considered, the target point of sale in Pau, which must also be taken into account in the Tarbes area.</w:t>
      </w:r>
    </w:p>
    <w:p>
      <w:r>
        <w:t>IV. The Commitments</w:t>
      </w:r>
    </w:p>
    <w:p>
      <w:r>
        <w:t>38. To eliminate any significant risk of harm to competition that may result from the present operation, in the catchment area around the target point of sale in Tarbes, the notifying party submitted a proposal for commitments on August 4, 2021. The text of these commitments, attached in the annex, forms an integral part of this decision.</w:t>
      </w:r>
    </w:p>
    <w:p>
      <w:r>
        <w:t>A. THE PROPOSED COMMITMENTS</w:t>
      </w:r>
    </w:p>
    <w:p>
      <w:r>
        <w:t>39. The proposed commitments consist of the divestiture of the Dispano point of sale, currently operated by the acquirer, located in the Tarbes area within a period of [confidential] months from the date of this decision.</w:t>
      </w:r>
    </w:p>
    <w:p>
      <w:r>
        <w:t>40. To ensure the effectiveness of these divestiture commitments, DMBP commits not to reacquire the divested store, nor to acquire any direct or indirect influence over it, for a period of 10 years.</w:t>
      </w:r>
    </w:p>
    <w:p>
      <w:r>
        <w:t>41. These commitments are accompanied by the designation of a trustee responsible for monitoring the commitments. After a period of [confidential] months, if the point of sale has not been divested by the notifying party, a trustee will be appointed to carry out the divestiture of the point of sale covered by the commitments.</w:t>
      </w:r>
    </w:p>
    <w:p>
      <w:r>
        <w:t>B. ASSESSMENT OF THE PROPOSED COMMITMENTS</w:t>
      </w:r>
    </w:p>
    <w:p>
      <w:r>
        <w:t>1. ON THE OBJECTIVE OF THE COMMITMENTS</w:t>
      </w:r>
    </w:p>
    <w:p>
      <w:r>
        <w:t>42. As this is a horizontal concentration, the Authority primarily seeks structural corrective measures aimed at ensuring competitive market structures through divestitures of activities to an appropriate acquirer capable of exerting real competition, or the elimination of capital links between competitors.</w:t>
      </w:r>
    </w:p>
    <w:p>
      <w:r>
        <w:t>43. The commitments proposed by the notifying party have the effect of eliminating any overlap of activity in the area where a risk of harm to competition has been identified.</w:t>
      </w:r>
    </w:p>
    <w:p>
      <w:r>
        <w:t>44. Furthermore, the effectiveness of the remedies depends on the divestiture of the relevant assets to one or more appropriate acquirers. To restore sufficient competitive conditions, the acquirer(s) must be capable of effectively competing with the new entity in the relevant markets. This implies that the acquirer must present all guarantees of viability and independence, both legal and commercial, from the DMBP group. They must therefore be an actor in the specialized trading of wood and panels, independent of the DMBP group throughout the entire value chain, from supply to retail, and capable of ensuring the sustainable operation of the divested asset.</w:t>
      </w:r>
    </w:p>
    <w:p>
      <w:r>
        <w:t>45. Finally, the acquisition of the point of sale must not be likely to create new harms to competition in the relevant area, by strengthening the position of an already established competitor, especially in an already concentrated market.</w:t>
      </w:r>
    </w:p>
    <w:p>
      <w:r>
        <w:rPr>
          <w:b/>
        </w:rPr>
        <w:t>[Pages 10–11]</w:t>
      </w:r>
    </w:p>
    <w:p>
      <w:r>
        <w:t>2. ON THE APPROPRIATENESS OF THE PROPOSED COMMITMENTS</w:t>
      </w:r>
    </w:p>
    <w:p>
      <w:r>
        <w:t>46. The point of sale concerned by the commitments operates under the brand "Dispano." It is located at 8 - 10 avenue des Frères Montgolfier, Zone industrielle, 64140 Lons.</w:t>
      </w:r>
    </w:p>
    <w:p>
      <w:r>
        <w:t>47. In principle, such commitments are adequate in that they release the point of sale concerned from any ties to the new entity by allowing competing brands to acquire its business assets. Furthermore, the notifying party commits to ensuring that the transfer occurs within a period of [confidential] months.</w:t>
      </w:r>
    </w:p>
    <w:p>
      <w:r>
        <w:t>48. In the area concerned, the transfer of the point of sale has the effect of eliminating any overlap of activities. If, prior to the operation, the target's points of sale present in the area – that of Pau and that of Tarbes – were controlled by Panofrance, they will now be controlled by DMBP, which will no longer control the point of sale it currently operates. Thus, the commitments will allow for the maintenance of the number of operators in the area that existed before the operation.</w:t>
      </w:r>
    </w:p>
    <w:p>
      <w:r>
        <w:t>49. Regarding the implementation of the commitments, DMBP will propose to the Competition Authority the appointment of a representative in charge of monitoring the commitments, whose mission will be to ensure compliance with the obligations resulting from this decision. He will notably have to ensure the preservation of the economic viability, market value, and competitiveness of the stores to be transferred. He will also need to examine and evaluate potential buyers as well as the progress of the commitments.</w:t>
      </w:r>
    </w:p>
    <w:p>
      <w:r>
        <w:t>50. Furthermore, if DMBP does not find a buyer for the aforementioned point of sale within the period of [confidential] months, a representative in charge of the transfer will be tasked with finding a buyer and negotiating a price with him, on behalf of DMBP, for the terms of the transfer, which reinforces the credibility of the commitments made by the notifying party.</w:t>
      </w:r>
    </w:p>
    <w:p>
      <w:r>
        <w:t>DECIDES</w:t>
      </w:r>
    </w:p>
    <w:p>
      <w:r>
        <w:t>Sole Article: The operation notified under number 21-110 is authorized subject to the commitments described in paragraphs 38 to 50 above and annexed to this decision.</w:t>
      </w:r>
    </w:p>
    <w:p>
      <w:r>
        <w:t>The Chairwoman,</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